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仿宋_GB2312" w:hAnsi="宋体" w:eastAsia="仿宋_GB2312"/>
          <w:sz w:val="32"/>
        </w:rPr>
      </w:pPr>
      <w:r>
        <w:rPr>
          <w:rFonts w:hint="eastAsia" w:ascii="仿宋_GB2312" w:hAnsi="宋体" w:eastAsia="仿宋_GB2312"/>
          <w:sz w:val="32"/>
        </w:rPr>
        <w:t>附件3</w:t>
      </w:r>
    </w:p>
    <w:p>
      <w:pPr>
        <w:spacing w:line="360" w:lineRule="auto"/>
        <w:jc w:val="center"/>
        <w:rPr>
          <w:rFonts w:hint="eastAsia" w:ascii="方正小标宋简体" w:hAnsi="方正小标宋简体"/>
          <w:sz w:val="44"/>
          <w:szCs w:val="44"/>
        </w:rPr>
      </w:pPr>
      <w:r>
        <w:rPr>
          <w:rFonts w:hint="eastAsia" w:ascii="方正小标宋简体" w:hAnsi="方正小标宋简体"/>
          <w:sz w:val="44"/>
          <w:szCs w:val="44"/>
        </w:rPr>
        <w:t>202</w:t>
      </w:r>
      <w:r>
        <w:rPr>
          <w:rFonts w:hint="eastAsia" w:ascii="方正小标宋简体" w:hAnsi="方正小标宋简体"/>
          <w:sz w:val="44"/>
          <w:szCs w:val="44"/>
          <w:lang w:val="en-US" w:eastAsia="zh-CN"/>
        </w:rPr>
        <w:t>4</w:t>
      </w:r>
      <w:r>
        <w:rPr>
          <w:rFonts w:hint="eastAsia" w:ascii="方正小标宋简体" w:hAnsi="方正小标宋简体"/>
          <w:sz w:val="44"/>
          <w:szCs w:val="44"/>
        </w:rPr>
        <w:t>年度市属国有企业预算情况说明书</w:t>
      </w:r>
    </w:p>
    <w:p>
      <w:pPr>
        <w:spacing w:line="360" w:lineRule="auto"/>
        <w:jc w:val="center"/>
        <w:rPr>
          <w:rFonts w:ascii="方正小标宋简体" w:hAnsi="方正小标宋简体"/>
          <w:sz w:val="44"/>
          <w:szCs w:val="44"/>
        </w:rPr>
      </w:pPr>
      <w:r>
        <w:rPr>
          <w:rFonts w:hint="eastAsia" w:ascii="方正小标宋简体" w:hAnsi="方正小标宋简体"/>
          <w:sz w:val="44"/>
          <w:szCs w:val="44"/>
        </w:rPr>
        <w:t>内容提要</w:t>
      </w:r>
    </w:p>
    <w:p>
      <w:pPr>
        <w:spacing w:line="360" w:lineRule="auto"/>
        <w:jc w:val="center"/>
        <w:rPr>
          <w:rFonts w:ascii="仿宋_GB2312" w:hAnsi="宋体" w:eastAsia="仿宋_GB2312"/>
          <w:sz w:val="32"/>
        </w:rPr>
      </w:pP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预算情况说明书是对年度全面预算报表的补充说明，是评估预算报表编制质量的重要依据，是年度预算报表的重要组成部分。企业预算情况说明书由企业集团和所属二级及二级以下重要子企业分别编写。</w:t>
      </w:r>
    </w:p>
    <w:p>
      <w:pPr>
        <w:pStyle w:val="2"/>
        <w:keepNext w:val="0"/>
        <w:keepLines w:val="0"/>
        <w:pageBreakBefore w:val="0"/>
        <w:widowControl w:val="0"/>
        <w:kinsoku/>
        <w:wordWrap/>
        <w:overflowPunct/>
        <w:topLinePunct w:val="0"/>
        <w:autoSpaceDE/>
        <w:autoSpaceDN/>
        <w:bidi w:val="0"/>
        <w:adjustRightInd w:val="0"/>
        <w:snapToGrid/>
        <w:spacing w:line="520" w:lineRule="exact"/>
        <w:ind w:firstLine="0" w:firstLineChars="0"/>
        <w:jc w:val="center"/>
        <w:rPr>
          <w:rFonts w:ascii="黑体" w:eastAsia="黑体"/>
          <w:sz w:val="32"/>
          <w:szCs w:val="24"/>
          <w:shd w:val="clear" w:color="auto" w:fill="auto"/>
        </w:rPr>
      </w:pPr>
      <w:r>
        <w:rPr>
          <w:rFonts w:hint="eastAsia" w:ascii="黑体" w:eastAsia="黑体"/>
          <w:sz w:val="32"/>
          <w:szCs w:val="24"/>
          <w:shd w:val="clear" w:color="auto" w:fill="auto"/>
        </w:rPr>
        <w:t>第一部分  202</w:t>
      </w:r>
      <w:r>
        <w:rPr>
          <w:rFonts w:hint="eastAsia" w:ascii="黑体" w:eastAsia="黑体"/>
          <w:sz w:val="32"/>
          <w:szCs w:val="24"/>
          <w:shd w:val="clear" w:color="auto" w:fill="auto"/>
          <w:lang w:val="en-US" w:eastAsia="zh-CN"/>
        </w:rPr>
        <w:t>3</w:t>
      </w:r>
      <w:r>
        <w:rPr>
          <w:rFonts w:hint="eastAsia" w:ascii="黑体" w:eastAsia="黑体"/>
          <w:sz w:val="32"/>
          <w:szCs w:val="24"/>
          <w:shd w:val="clear" w:color="auto" w:fill="auto"/>
        </w:rPr>
        <w:t>年度预算工作情况总结</w:t>
      </w:r>
    </w:p>
    <w:p>
      <w:pPr>
        <w:pStyle w:val="2"/>
        <w:keepNext w:val="0"/>
        <w:keepLines w:val="0"/>
        <w:pageBreakBefore w:val="0"/>
        <w:widowControl w:val="0"/>
        <w:kinsoku/>
        <w:wordWrap/>
        <w:overflowPunct/>
        <w:topLinePunct w:val="0"/>
        <w:autoSpaceDE/>
        <w:autoSpaceDN/>
        <w:bidi w:val="0"/>
        <w:adjustRightInd w:val="0"/>
        <w:snapToGrid/>
        <w:spacing w:line="520" w:lineRule="exact"/>
        <w:ind w:firstLine="640"/>
        <w:rPr>
          <w:sz w:val="32"/>
          <w:szCs w:val="24"/>
          <w:shd w:val="clear" w:color="auto" w:fill="auto"/>
        </w:rPr>
      </w:pPr>
      <w:r>
        <w:rPr>
          <w:rFonts w:hint="eastAsia"/>
          <w:sz w:val="32"/>
          <w:szCs w:val="24"/>
          <w:shd w:val="clear" w:color="auto" w:fill="auto"/>
        </w:rPr>
        <w:t>一、</w:t>
      </w:r>
      <w:r>
        <w:rPr>
          <w:sz w:val="32"/>
          <w:szCs w:val="24"/>
          <w:shd w:val="clear" w:color="auto" w:fill="auto"/>
        </w:rPr>
        <w:t>梳理集团预算管理的组织体系、工作流程和相关规范</w:t>
      </w:r>
      <w:r>
        <w:rPr>
          <w:rFonts w:hint="eastAsia"/>
          <w:sz w:val="32"/>
          <w:szCs w:val="24"/>
          <w:shd w:val="clear" w:color="auto" w:fill="auto"/>
        </w:rPr>
        <w:t>情况</w:t>
      </w:r>
      <w:r>
        <w:rPr>
          <w:sz w:val="32"/>
          <w:szCs w:val="24"/>
          <w:shd w:val="clear" w:color="auto" w:fill="auto"/>
        </w:rPr>
        <w:t>，总结分析遇到的</w:t>
      </w:r>
      <w:r>
        <w:rPr>
          <w:rFonts w:hint="eastAsia"/>
          <w:sz w:val="32"/>
          <w:szCs w:val="24"/>
          <w:shd w:val="clear" w:color="auto" w:fill="auto"/>
        </w:rPr>
        <w:t>主要</w:t>
      </w:r>
      <w:r>
        <w:rPr>
          <w:sz w:val="32"/>
          <w:szCs w:val="24"/>
          <w:shd w:val="clear" w:color="auto" w:fill="auto"/>
        </w:rPr>
        <w:t>问题、采取的应对措施及取得的成效，对下一步提升企业预算管理工作水平的提出意见及建议。</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zCs w:val="24"/>
          <w:shd w:val="clear" w:color="auto" w:fill="auto"/>
        </w:rPr>
      </w:pPr>
      <w:r>
        <w:rPr>
          <w:rFonts w:hint="eastAsia"/>
          <w:sz w:val="32"/>
          <w:szCs w:val="24"/>
          <w:shd w:val="clear" w:color="auto" w:fill="auto"/>
        </w:rPr>
        <w:t>二、对上年度预算调整情况进行说明，其中至少应包括主要财务及生产经营指标调整情况、预算调整的原因等。</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zCs w:val="24"/>
          <w:shd w:val="clear" w:color="auto" w:fill="auto"/>
        </w:rPr>
      </w:pPr>
      <w:r>
        <w:rPr>
          <w:rFonts w:hint="eastAsia"/>
          <w:sz w:val="32"/>
          <w:szCs w:val="24"/>
          <w:shd w:val="clear" w:color="auto" w:fill="auto"/>
        </w:rPr>
        <w:t>三、对上年度预算完成情况进行简要总结，并对重要财务指标的实际完成数与调整后的预算数差异原因进行说明，其中至少应包括营业收入、营业成本、期间费用、利润总额等。</w:t>
      </w:r>
    </w:p>
    <w:p>
      <w:pPr>
        <w:keepNext w:val="0"/>
        <w:keepLines w:val="0"/>
        <w:pageBreakBefore w:val="0"/>
        <w:widowControl w:val="0"/>
        <w:kinsoku/>
        <w:wordWrap/>
        <w:overflowPunct/>
        <w:topLinePunct w:val="0"/>
        <w:autoSpaceDE/>
        <w:autoSpaceDN/>
        <w:bidi w:val="0"/>
        <w:snapToGrid/>
        <w:spacing w:line="520" w:lineRule="exact"/>
        <w:ind w:firstLine="640" w:firstLineChars="200"/>
        <w:jc w:val="center"/>
        <w:rPr>
          <w:rFonts w:ascii="黑体" w:eastAsia="黑体"/>
          <w:sz w:val="32"/>
          <w:szCs w:val="24"/>
        </w:rPr>
      </w:pPr>
      <w:r>
        <w:rPr>
          <w:rFonts w:hint="eastAsia" w:ascii="黑体" w:eastAsia="黑体"/>
          <w:sz w:val="32"/>
          <w:szCs w:val="24"/>
        </w:rPr>
        <w:t>第二部分  202</w:t>
      </w:r>
      <w:r>
        <w:rPr>
          <w:rFonts w:hint="eastAsia" w:ascii="黑体" w:eastAsia="黑体"/>
          <w:sz w:val="32"/>
          <w:szCs w:val="24"/>
          <w:lang w:val="en-US" w:eastAsia="zh-CN"/>
        </w:rPr>
        <w:t>4</w:t>
      </w:r>
      <w:r>
        <w:rPr>
          <w:rFonts w:hint="eastAsia" w:ascii="黑体" w:eastAsia="黑体"/>
          <w:sz w:val="32"/>
          <w:szCs w:val="24"/>
        </w:rPr>
        <w:t>年度预算情况编制说明</w:t>
      </w:r>
    </w:p>
    <w:p>
      <w:pPr>
        <w:pStyle w:val="2"/>
        <w:keepNext w:val="0"/>
        <w:keepLines w:val="0"/>
        <w:pageBreakBefore w:val="0"/>
        <w:widowControl w:val="0"/>
        <w:kinsoku/>
        <w:wordWrap/>
        <w:overflowPunct/>
        <w:topLinePunct w:val="0"/>
        <w:autoSpaceDE/>
        <w:autoSpaceDN/>
        <w:bidi w:val="0"/>
        <w:adjustRightInd w:val="0"/>
        <w:snapToGrid/>
        <w:spacing w:line="520" w:lineRule="exact"/>
        <w:ind w:firstLine="640"/>
        <w:outlineLvl w:val="0"/>
        <w:rPr>
          <w:rFonts w:ascii="黑体" w:eastAsia="黑体"/>
          <w:sz w:val="32"/>
          <w:szCs w:val="24"/>
          <w:shd w:val="clear" w:color="auto" w:fill="auto"/>
        </w:rPr>
      </w:pPr>
      <w:r>
        <w:rPr>
          <w:rFonts w:hint="eastAsia" w:ascii="黑体" w:eastAsia="黑体"/>
          <w:sz w:val="32"/>
          <w:szCs w:val="24"/>
          <w:shd w:val="clear" w:color="auto" w:fill="auto"/>
        </w:rPr>
        <w:t>一、本年度预算工作组织情况</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zCs w:val="24"/>
          <w:shd w:val="clear" w:color="auto" w:fill="auto"/>
        </w:rPr>
      </w:pPr>
      <w:r>
        <w:rPr>
          <w:rFonts w:hint="eastAsia"/>
          <w:sz w:val="32"/>
          <w:szCs w:val="24"/>
          <w:shd w:val="clear" w:color="auto" w:fill="auto"/>
        </w:rPr>
        <w:t>预算工作组织情况主要包括企业预算机构设置、机构主要成员构成、内部组织分工、年度预算工作具体组织过程，以及预算审核情况等。</w:t>
      </w:r>
    </w:p>
    <w:p>
      <w:pPr>
        <w:pStyle w:val="2"/>
        <w:keepNext w:val="0"/>
        <w:keepLines w:val="0"/>
        <w:pageBreakBefore w:val="0"/>
        <w:widowControl w:val="0"/>
        <w:kinsoku/>
        <w:wordWrap/>
        <w:overflowPunct/>
        <w:topLinePunct w:val="0"/>
        <w:autoSpaceDE/>
        <w:autoSpaceDN/>
        <w:bidi w:val="0"/>
        <w:snapToGrid/>
        <w:spacing w:line="520" w:lineRule="exact"/>
        <w:ind w:firstLine="640"/>
        <w:rPr>
          <w:rFonts w:ascii="黑体" w:eastAsia="黑体"/>
          <w:sz w:val="32"/>
          <w:shd w:val="clear" w:color="auto" w:fill="auto"/>
        </w:rPr>
      </w:pPr>
      <w:r>
        <w:rPr>
          <w:rFonts w:hint="eastAsia" w:ascii="黑体" w:eastAsia="黑体"/>
          <w:sz w:val="32"/>
          <w:shd w:val="clear" w:color="auto" w:fill="auto"/>
        </w:rPr>
        <w:t>二、本年度预算编制基础</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（一）企业编制年度预算所选用的会计政策，说明折旧率、资产减值等重大会计政策及会计估计发生变更的原因，对损益的影响金额。</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二）对于《企业会计准则》允许以公允价值计量的资产或负债，需说明是否考虑公允价值变动影响。凡是考虑公允价值变动影响的企业，应按资产及负债的类别逐项说明影响的金额及原因。凡是不考虑公允价值变动影响的企业，应说明理由。</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（三）年度预算报表的合并范围说明，未纳入及新纳入年度预算报表编制范围的子企业名单、级次、原因以及对预算的影响等情况。</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（四）对预算年度宏观经济形势的总体预测与分析，说明企业编制预算的宏观经济形势基础。</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黑体" w:hAnsi="黑体" w:eastAsia="黑体"/>
          <w:sz w:val="32"/>
        </w:rPr>
      </w:pPr>
      <w:r>
        <w:rPr>
          <w:rFonts w:hint="eastAsia" w:ascii="黑体" w:hAnsi="黑体" w:eastAsia="黑体"/>
          <w:sz w:val="32"/>
        </w:rPr>
        <w:t>三、本年度预算编制情况</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楷体_GB2312" w:hAnsi="楷体_GB2312" w:eastAsia="楷体_GB2312"/>
          <w:sz w:val="32"/>
        </w:rPr>
      </w:pPr>
      <w:r>
        <w:rPr>
          <w:rFonts w:hint="eastAsia" w:ascii="楷体_GB2312" w:hAnsi="楷体_GB2312" w:eastAsia="楷体_GB2312"/>
          <w:sz w:val="32"/>
        </w:rPr>
        <w:t>（一）业务预算。</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业务预算是企业编制年度预算的基础，企业应在深入开展业务板块分析、重要子企业调查的基础上，对主要业务板块的发展趋势及生产经营情况进行客观的预测，对企业产生重大影响的生产经营决策进行说明。至少应包括以下内容：</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1. 通过对国内外宏观经济形势的研究与预测，说明宏观经济形势对企业生产经营和经济效益的影响。</w:t>
      </w:r>
    </w:p>
    <w:p>
      <w:pPr>
        <w:pStyle w:val="3"/>
        <w:keepNext w:val="0"/>
        <w:keepLines w:val="0"/>
        <w:pageBreakBefore w:val="0"/>
        <w:widowControl w:val="0"/>
        <w:kinsoku/>
        <w:wordWrap/>
        <w:overflowPunct/>
        <w:topLinePunct w:val="0"/>
        <w:autoSpaceDE/>
        <w:autoSpaceDN/>
        <w:bidi w:val="0"/>
        <w:snapToGrid/>
        <w:spacing w:line="520" w:lineRule="exact"/>
        <w:ind w:firstLine="640"/>
        <w:rPr>
          <w:b w:val="0"/>
          <w:sz w:val="32"/>
          <w:shd w:val="clear" w:color="auto" w:fill="auto"/>
        </w:rPr>
      </w:pPr>
      <w:r>
        <w:rPr>
          <w:rFonts w:hint="eastAsia"/>
          <w:b w:val="0"/>
          <w:sz w:val="32"/>
          <w:shd w:val="clear" w:color="auto" w:fill="auto"/>
        </w:rPr>
        <w:t>2. 从行业发展阶段与趋势、能源、原材料及主要产品价格、市场供求关系、行业监管政策等方面，说明行业经济形势变化对本企业的影响。</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3. 结合本企业整体战略规划、所处行业地位、市场供求关系及价格变动等情况，按主要业务板块说明生产经营指标增减变动情况和收入、成本等变动情况，以及指标变动对企业效益的影响程度等。</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4.根据国家金融监管政策，结合本企业金融业务投资情况对开展的各类金融业务进行风险分析和说明。</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5.对于不符合企业战略规划或进行调整的情况进行分析说明。</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6.对于不符合全面预算管理中有关重点业务预算约束内容应予以重点说明。</w:t>
      </w:r>
    </w:p>
    <w:p>
      <w:pPr>
        <w:pStyle w:val="2"/>
        <w:keepNext w:val="0"/>
        <w:keepLines w:val="0"/>
        <w:pageBreakBefore w:val="0"/>
        <w:widowControl w:val="0"/>
        <w:kinsoku/>
        <w:wordWrap/>
        <w:overflowPunct/>
        <w:topLinePunct w:val="0"/>
        <w:autoSpaceDE/>
        <w:autoSpaceDN/>
        <w:bidi w:val="0"/>
        <w:snapToGrid/>
        <w:spacing w:line="520" w:lineRule="exact"/>
        <w:ind w:firstLine="640"/>
        <w:rPr>
          <w:rFonts w:ascii="楷体_GB2312" w:hAnsi="楷体_GB2312" w:eastAsia="楷体_GB2312"/>
          <w:sz w:val="32"/>
          <w:shd w:val="clear" w:color="auto" w:fill="auto"/>
        </w:rPr>
      </w:pPr>
      <w:r>
        <w:rPr>
          <w:rFonts w:hint="eastAsia" w:ascii="楷体_GB2312" w:hAnsi="楷体_GB2312" w:eastAsia="楷体_GB2312"/>
          <w:sz w:val="32"/>
          <w:shd w:val="clear" w:color="auto" w:fill="auto"/>
        </w:rPr>
        <w:t>（二）投资预算。</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1. 说明企业预算年度内拟安排的重大固定资产投资项目（前十项）的目的、总规模、预期收益及预计实施年限等情况，对于资金来源与资金保障情况应重点说明。其中：对于重大新开工项目，还应结合企业对未来一定时期宏观经济形势和行业形势的判断，分析说明投资的依据与理由。</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对于非主业投资占总投资的比重超过10%、自有资金占总投资的比重低于30%的固定资产投资，应予以详细分项说明。</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对于境外固定资产投资项目，应予以详细分项说明。</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2. 说明企业预算年度拟计划实施的重大长期股权投资情况，具体包括：投资目的、预计投资规模、资金来源、持股比例、预计收益等情况；逐项说明预算年度拟实施收购项目的目的、收购方式，以及对企业生产经营和债务结构产生的影响。如有境外收购及投资项目的，应按上述项目逐项说明。</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说明预算年度拟清理的长期股权投资，以及拟采取的清理手段和措施。</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3. 分类说明企业预算年度内拟安排的债券、股票、基金等风险业务的资金占用规模、资金来源和预计投资回报率等情况。</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4. 分类说明企业预算年度内拟开展金融衍生业务计划安排，包括选择的品种、交易规模、资金额度、交易场所、交易对手、交易策略、保值效果以及风险控制等情况。</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5. 分类说明企业预算年度内拟向产业领域大项目、“四大”建设标志性项目、“一带一路”大项目、民生领域大项目、重大平台、以及战略性新兴产业等领域的投资情况。战略性新兴产业领域包括新一代信息技术产业、高端装备制造产业、新材料产业、生物产业、新能源汽车产业、新能源产业、节能环保产业、数字创意产业、相关服务业等9大领域。</w:t>
      </w:r>
    </w:p>
    <w:p>
      <w:pPr>
        <w:pStyle w:val="2"/>
        <w:keepNext w:val="0"/>
        <w:keepLines w:val="0"/>
        <w:pageBreakBefore w:val="0"/>
        <w:widowControl w:val="0"/>
        <w:kinsoku/>
        <w:wordWrap/>
        <w:overflowPunct/>
        <w:topLinePunct w:val="0"/>
        <w:autoSpaceDE/>
        <w:autoSpaceDN/>
        <w:bidi w:val="0"/>
        <w:snapToGrid/>
        <w:spacing w:line="520" w:lineRule="exact"/>
        <w:ind w:firstLine="640"/>
        <w:rPr>
          <w:sz w:val="32"/>
          <w:shd w:val="clear" w:color="auto" w:fill="auto"/>
        </w:rPr>
      </w:pPr>
      <w:r>
        <w:rPr>
          <w:rFonts w:hint="eastAsia"/>
          <w:sz w:val="32"/>
          <w:shd w:val="clear" w:color="auto" w:fill="auto"/>
        </w:rPr>
        <w:t>6. 对于不符合全面预算管理中有关</w:t>
      </w:r>
      <w:r>
        <w:rPr>
          <w:sz w:val="32"/>
          <w:shd w:val="clear" w:color="auto" w:fill="auto"/>
        </w:rPr>
        <w:t>投资预算</w:t>
      </w:r>
      <w:r>
        <w:rPr>
          <w:rFonts w:hint="eastAsia"/>
          <w:sz w:val="32"/>
          <w:shd w:val="clear" w:color="auto" w:fill="auto"/>
        </w:rPr>
        <w:t>管控要求的投资项目内容应予以重点说明。</w:t>
      </w:r>
    </w:p>
    <w:p>
      <w:pPr>
        <w:keepNext w:val="0"/>
        <w:keepLines w:val="0"/>
        <w:pageBreakBefore w:val="0"/>
        <w:widowControl w:val="0"/>
        <w:kinsoku/>
        <w:wordWrap/>
        <w:overflowPunct/>
        <w:topLinePunct w:val="0"/>
        <w:autoSpaceDE/>
        <w:autoSpaceDN/>
        <w:bidi w:val="0"/>
        <w:snapToGrid/>
        <w:spacing w:line="520" w:lineRule="exact"/>
        <w:ind w:left="420" w:leftChars="200"/>
        <w:textAlignment w:val="baseline"/>
        <w:rPr>
          <w:rFonts w:ascii="楷体_GB2312" w:hAnsi="楷体_GB2312" w:eastAsia="楷体_GB2312"/>
          <w:sz w:val="32"/>
        </w:rPr>
      </w:pPr>
      <w:r>
        <w:rPr>
          <w:rFonts w:hint="eastAsia" w:ascii="楷体_GB2312" w:hAnsi="楷体_GB2312" w:eastAsia="楷体_GB2312"/>
          <w:sz w:val="32"/>
        </w:rPr>
        <w:t>（三）筹资预算。</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baseline"/>
        <w:rPr>
          <w:rFonts w:ascii="仿宋_GB2312" w:hAnsi="宋体" w:eastAsia="仿宋_GB2312"/>
          <w:sz w:val="32"/>
        </w:rPr>
      </w:pPr>
      <w:r>
        <w:rPr>
          <w:rFonts w:hint="eastAsia" w:ascii="仿宋_GB2312" w:hAnsi="宋体" w:eastAsia="仿宋_GB2312"/>
          <w:sz w:val="32"/>
        </w:rPr>
        <w:t>说明企业预算年度内拟安排的重大筹资项目目的、筹资规模、筹资方式和筹资费用等情况，分析筹资行为对企业财务费用增长、债务结构以及资产负债率、速动比率及带息负债比率等财务指标带来的影响。结合资产负债约束的相关要求，对资产负债率预算进行分析并说明相关约束措施；企业资产负债率连续增长且处于行业较高水平，应说明原因及控制措施。对于不符合全面预算管理中有关重点</w:t>
      </w:r>
      <w:r>
        <w:rPr>
          <w:rFonts w:ascii="仿宋_GB2312" w:hAnsi="宋体" w:eastAsia="仿宋_GB2312"/>
          <w:sz w:val="32"/>
        </w:rPr>
        <w:t>经营</w:t>
      </w:r>
      <w:r>
        <w:rPr>
          <w:rFonts w:hint="eastAsia" w:ascii="仿宋_GB2312" w:hAnsi="宋体" w:eastAsia="仿宋_GB2312"/>
          <w:sz w:val="32"/>
        </w:rPr>
        <w:t>业务</w:t>
      </w:r>
      <w:r>
        <w:rPr>
          <w:rFonts w:ascii="仿宋_GB2312" w:hAnsi="宋体" w:eastAsia="仿宋_GB2312"/>
          <w:sz w:val="32"/>
        </w:rPr>
        <w:t>的预算约束</w:t>
      </w:r>
      <w:r>
        <w:rPr>
          <w:rFonts w:hint="eastAsia" w:ascii="仿宋_GB2312" w:hAnsi="宋体" w:eastAsia="仿宋_GB2312"/>
          <w:sz w:val="32"/>
        </w:rPr>
        <w:t>的内容应予以重点说明。</w:t>
      </w:r>
    </w:p>
    <w:p>
      <w:pPr>
        <w:pStyle w:val="2"/>
        <w:keepNext w:val="0"/>
        <w:keepLines w:val="0"/>
        <w:pageBreakBefore w:val="0"/>
        <w:widowControl w:val="0"/>
        <w:kinsoku/>
        <w:wordWrap/>
        <w:overflowPunct/>
        <w:topLinePunct w:val="0"/>
        <w:autoSpaceDE/>
        <w:autoSpaceDN/>
        <w:bidi w:val="0"/>
        <w:snapToGrid/>
        <w:spacing w:line="520" w:lineRule="exact"/>
        <w:ind w:firstLine="640"/>
        <w:rPr>
          <w:rFonts w:ascii="楷体_GB2312" w:hAnsi="楷体_GB2312" w:eastAsia="楷体_GB2312"/>
          <w:sz w:val="32"/>
          <w:shd w:val="clear" w:color="auto" w:fill="auto"/>
        </w:rPr>
      </w:pPr>
      <w:r>
        <w:rPr>
          <w:rFonts w:hint="eastAsia" w:ascii="楷体_GB2312" w:hAnsi="楷体_GB2312" w:eastAsia="楷体_GB2312"/>
          <w:sz w:val="32"/>
          <w:shd w:val="clear" w:color="auto" w:fill="auto"/>
        </w:rPr>
        <w:t>（四）资金预算。</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baseline"/>
        <w:rPr>
          <w:rFonts w:ascii="仿宋_GB2312" w:hAnsi="宋体" w:eastAsia="仿宋_GB2312"/>
          <w:sz w:val="32"/>
        </w:rPr>
      </w:pPr>
      <w:r>
        <w:rPr>
          <w:rFonts w:hint="eastAsia" w:ascii="仿宋_GB2312" w:hAnsi="宋体" w:eastAsia="仿宋_GB2312"/>
          <w:sz w:val="32"/>
        </w:rPr>
        <w:t>预算年度内资产负债及现金流量情况，重点说明经营性现金流量变化情况，同时结合当前信贷政策从紧、融资成本攀升的实际情况，综合考虑投资和筹资产生的现金流量变化，说明企业为保障资金安全所采取的具体应对措施。如加强应收款项回收管理、提高库存流动性、跟踪高负债子企业和亏损企业、加强重大工程项目资金管控等。</w:t>
      </w:r>
    </w:p>
    <w:p>
      <w:pPr>
        <w:keepNext w:val="0"/>
        <w:keepLines w:val="0"/>
        <w:pageBreakBefore w:val="0"/>
        <w:widowControl w:val="0"/>
        <w:kinsoku/>
        <w:wordWrap/>
        <w:overflowPunct/>
        <w:topLinePunct w:val="0"/>
        <w:autoSpaceDE/>
        <w:autoSpaceDN/>
        <w:bidi w:val="0"/>
        <w:snapToGrid/>
        <w:spacing w:line="520" w:lineRule="exact"/>
        <w:ind w:firstLine="560" w:firstLineChars="175"/>
        <w:textAlignment w:val="baseline"/>
        <w:rPr>
          <w:rFonts w:ascii="楷体_GB2312" w:hAnsi="楷体_GB2312" w:eastAsia="楷体_GB2312"/>
          <w:sz w:val="32"/>
        </w:rPr>
      </w:pPr>
      <w:r>
        <w:rPr>
          <w:rFonts w:hint="eastAsia" w:ascii="楷体_GB2312" w:hAnsi="楷体_GB2312" w:eastAsia="楷体_GB2312"/>
          <w:sz w:val="32"/>
        </w:rPr>
        <w:t>（五）费用预算。</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1. 预算年度期间费用发生情况，具体说明销售费用、管理费用、研发费用和财务费用的预计发生金额、年度增减变动情况，以及本年度拟采取的费用增长控制措施及落实方法。对期间费用中前十项费用的名称、金额、与上年增减变动情况、变动原因等，应进行逐项说明。</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2. 预算年度企业人工成本情况，具体包括：预算年度内企业人工成本支出情况、人工成本占营业收入及成本费用比重变动情况、职工数量变化情况，企业工资总额预算情况，市属企业领导人职务消费情况等。如果人工成本总额、人均人工成本或工资增幅超过收入及利润增幅，应详细说明原因。</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3.对于不符合全面预算管理成本费用</w:t>
      </w:r>
      <w:r>
        <w:rPr>
          <w:rFonts w:ascii="仿宋_GB2312" w:hAnsi="宋体" w:eastAsia="仿宋_GB2312"/>
          <w:sz w:val="32"/>
        </w:rPr>
        <w:t>预算管理</w:t>
      </w:r>
      <w:r>
        <w:rPr>
          <w:rFonts w:hint="eastAsia" w:ascii="仿宋_GB2312" w:hAnsi="宋体" w:eastAsia="仿宋_GB2312"/>
          <w:sz w:val="32"/>
        </w:rPr>
        <w:t>控制目标情况进行说明。</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黑体" w:hAnsi="宋体" w:eastAsia="黑体"/>
          <w:sz w:val="32"/>
        </w:rPr>
      </w:pPr>
      <w:r>
        <w:rPr>
          <w:rFonts w:hint="eastAsia" w:ascii="黑体" w:hAnsi="宋体" w:eastAsia="黑体"/>
          <w:sz w:val="32"/>
        </w:rPr>
        <w:t>四、预算年度重大事项说明</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（一）说明预算年度内降杠杆负债年度方案，落实降杠杆减负债工作目标等情况。</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（二）说明预算年度内重大战略任务和重大决策的工作安排、统筹管理等情况。</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（三）说明企业预算年度内技术投入及产品创新计划、市场开拓计划、资本投入与回报计划等情况。</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（四）说明预算年度内对拟发生的重大经营风险采取的防范措施、对融资性贸易业务以及“空转”、“走单”类贸易业务拟进行的排查、处置等情况。</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（五）预算年度内拟出售固定资产、债务重组等重大营业外收支项目的原因、金额、对象、方式等情况。</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（六）说明企业预算年度内担保、抵押等或有事项的规模控制情况，并说明对逾期担保等或有事项拟采取的清理措施。</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（七）详细说明企业预算年度内对外捐赠支出项目、支出规模、支出方案等预算安排情况，并对上年度捐赠预算执行情况及实施情况进行总结。重大捐赠事项应向董事会、监事会做出特别说明,</w:t>
      </w:r>
      <w:r>
        <w:rPr>
          <w:rFonts w:hint="eastAsia" w:ascii="仿宋_GB2312" w:eastAsia="仿宋_GB2312"/>
          <w:color w:val="000000"/>
          <w:sz w:val="40"/>
          <w:szCs w:val="32"/>
        </w:rPr>
        <w:t xml:space="preserve"> </w:t>
      </w:r>
      <w:r>
        <w:rPr>
          <w:rFonts w:hint="eastAsia" w:ascii="仿宋_GB2312" w:hAnsi="宋体" w:eastAsia="仿宋_GB2312"/>
          <w:sz w:val="32"/>
        </w:rPr>
        <w:t>已向董事会、监事会做出特别说明且年度预算经公司董事会批准并报监事会备案，如实际执行与预算相符的捐赠事项，视为符合捐赠管理办法第三十条规定，可无需逐笔进行审批。</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（八）其他需要说明的情况。</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黑体" w:hAnsi="宋体" w:eastAsia="黑体"/>
          <w:sz w:val="32"/>
        </w:rPr>
      </w:pPr>
      <w:r>
        <w:rPr>
          <w:rFonts w:hint="eastAsia" w:ascii="黑体" w:hAnsi="宋体" w:eastAsia="黑体"/>
          <w:sz w:val="32"/>
        </w:rPr>
        <w:t>五、可能影响预算</w:t>
      </w:r>
      <w:bookmarkStart w:id="0" w:name="_GoBack"/>
      <w:bookmarkEnd w:id="0"/>
      <w:r>
        <w:rPr>
          <w:rFonts w:hint="eastAsia" w:ascii="黑体" w:hAnsi="宋体" w:eastAsia="黑体"/>
          <w:sz w:val="32"/>
        </w:rPr>
        <w:t>指标的事项说明</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可能影响预算指标的事项说明是企业对预算年度可能对现有预算产生重大不确定影响事项的说明，如国家宏观经济形势和政策的变化、汇率、利率、原油等大宗商品价格的变化、国际政治经济形势的变化、企业决策中的重大不确定事项等。企业应当充分说明各种不确定性因素可能对企业主要预算指标的影响程度，并对其进行敏感性分析等。</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黑体" w:hAnsi="宋体" w:eastAsia="黑体"/>
          <w:sz w:val="32"/>
        </w:rPr>
      </w:pPr>
      <w:r>
        <w:rPr>
          <w:rFonts w:hint="eastAsia" w:ascii="黑体" w:hAnsi="宋体" w:eastAsia="黑体"/>
          <w:sz w:val="32"/>
        </w:rPr>
        <w:t>六、预算执行的保障和监督措施</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ascii="仿宋_GB2312" w:hAnsi="宋体" w:eastAsia="仿宋_GB2312"/>
          <w:sz w:val="32"/>
        </w:rPr>
      </w:pPr>
      <w:r>
        <w:rPr>
          <w:rFonts w:hint="eastAsia" w:ascii="仿宋_GB2312" w:hAnsi="宋体" w:eastAsia="仿宋_GB2312"/>
          <w:sz w:val="32"/>
        </w:rPr>
        <w:t>预算执行的保障和监督措施指企业在预算执行过程中，确保预算执行的有关制度保障和跟踪、监督、评价、考核等措施。</w:t>
      </w:r>
    </w:p>
    <w:p>
      <w:pPr>
        <w:pStyle w:val="10"/>
        <w:keepNext w:val="0"/>
        <w:keepLines w:val="0"/>
        <w:pageBreakBefore w:val="0"/>
        <w:widowControl w:val="0"/>
        <w:numPr>
          <w:ilvl w:val="0"/>
          <w:numId w:val="1"/>
        </w:numPr>
        <w:kinsoku/>
        <w:wordWrap/>
        <w:overflowPunct/>
        <w:topLinePunct w:val="0"/>
        <w:autoSpaceDE/>
        <w:autoSpaceDN/>
        <w:bidi w:val="0"/>
        <w:snapToGrid/>
        <w:spacing w:line="520" w:lineRule="exact"/>
        <w:ind w:firstLineChars="0"/>
        <w:rPr>
          <w:rFonts w:ascii="黑体" w:hAnsi="宋体" w:eastAsia="黑体"/>
          <w:sz w:val="32"/>
        </w:rPr>
      </w:pPr>
      <w:r>
        <w:rPr>
          <w:rFonts w:hint="eastAsia" w:ascii="黑体" w:hAnsi="宋体" w:eastAsia="黑体"/>
          <w:sz w:val="32"/>
        </w:rPr>
        <w:t>其他需要说明的情况</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07DC"/>
    <w:multiLevelType w:val="multilevel"/>
    <w:tmpl w:val="420507DC"/>
    <w:lvl w:ilvl="0" w:tentative="0">
      <w:start w:val="7"/>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1DC5"/>
    <w:rsid w:val="000C0217"/>
    <w:rsid w:val="000D487C"/>
    <w:rsid w:val="00172A27"/>
    <w:rsid w:val="001835B4"/>
    <w:rsid w:val="00212892"/>
    <w:rsid w:val="0021719F"/>
    <w:rsid w:val="002270CE"/>
    <w:rsid w:val="00276721"/>
    <w:rsid w:val="00363BF7"/>
    <w:rsid w:val="003A53D2"/>
    <w:rsid w:val="004169BB"/>
    <w:rsid w:val="00420B37"/>
    <w:rsid w:val="00451590"/>
    <w:rsid w:val="0047215C"/>
    <w:rsid w:val="004846DF"/>
    <w:rsid w:val="00593892"/>
    <w:rsid w:val="005B23B8"/>
    <w:rsid w:val="005B7549"/>
    <w:rsid w:val="00617F2E"/>
    <w:rsid w:val="00643FD7"/>
    <w:rsid w:val="0064522D"/>
    <w:rsid w:val="00695806"/>
    <w:rsid w:val="0075682A"/>
    <w:rsid w:val="007B52EE"/>
    <w:rsid w:val="007D58E1"/>
    <w:rsid w:val="00892A13"/>
    <w:rsid w:val="00931B3C"/>
    <w:rsid w:val="009A335F"/>
    <w:rsid w:val="009E0C7D"/>
    <w:rsid w:val="00AC6AC9"/>
    <w:rsid w:val="00B27DD1"/>
    <w:rsid w:val="00B700C2"/>
    <w:rsid w:val="00B7103B"/>
    <w:rsid w:val="00B75C16"/>
    <w:rsid w:val="00BF18DC"/>
    <w:rsid w:val="00C14D78"/>
    <w:rsid w:val="00CF0D3E"/>
    <w:rsid w:val="00D93BDE"/>
    <w:rsid w:val="00DA7CC3"/>
    <w:rsid w:val="00DF2182"/>
    <w:rsid w:val="00EC0480"/>
    <w:rsid w:val="00F01AAA"/>
    <w:rsid w:val="00F464F4"/>
    <w:rsid w:val="00F81D58"/>
    <w:rsid w:val="00FE44C5"/>
    <w:rsid w:val="26557F0F"/>
    <w:rsid w:val="277271E8"/>
    <w:rsid w:val="30DB37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spacing w:line="360" w:lineRule="auto"/>
      <w:ind w:firstLine="560" w:firstLineChars="200"/>
    </w:pPr>
    <w:rPr>
      <w:rFonts w:ascii="仿宋_GB2312" w:hAnsi="宋体" w:eastAsia="仿宋_GB2312"/>
      <w:sz w:val="28"/>
      <w:shd w:val="clear" w:color="auto" w:fill="FF9900"/>
    </w:rPr>
  </w:style>
  <w:style w:type="paragraph" w:styleId="3">
    <w:name w:val="Body Text Indent 2"/>
    <w:basedOn w:val="1"/>
    <w:uiPriority w:val="0"/>
    <w:pPr>
      <w:spacing w:line="360" w:lineRule="auto"/>
      <w:ind w:firstLine="562" w:firstLineChars="200"/>
    </w:pPr>
    <w:rPr>
      <w:rFonts w:ascii="仿宋_GB2312" w:hAnsi="宋体" w:eastAsia="仿宋_GB2312"/>
      <w:b/>
      <w:sz w:val="28"/>
      <w:shd w:val="pct10" w:color="auto" w:fill="FFFFFF"/>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0"/>
  </w:style>
  <w:style w:type="paragraph" w:customStyle="1" w:styleId="9">
    <w:name w:val="Char1 Char Char Char Char Char Char"/>
    <w:basedOn w:val="1"/>
    <w:uiPriority w:val="0"/>
    <w:pPr>
      <w:widowControl/>
      <w:spacing w:before="100" w:beforeAutospacing="1" w:after="100" w:afterAutospacing="1" w:line="360" w:lineRule="auto"/>
      <w:ind w:left="360" w:firstLine="624"/>
      <w:jc w:val="left"/>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487</Words>
  <Characters>2778</Characters>
  <Lines>23</Lines>
  <Paragraphs>6</Paragraphs>
  <TotalTime>303</TotalTime>
  <ScaleCrop>false</ScaleCrop>
  <LinksUpToDate>false</LinksUpToDate>
  <CharactersWithSpaces>3259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2017-12-25T10:42:00Z</dcterms:created>
  <dc:creator>王迪/Sasac</dc:creator>
  <cp:lastModifiedBy>gwz-a06</cp:lastModifiedBy>
  <cp:lastPrinted>1901-01-01T00:00:00Z</cp:lastPrinted>
  <dcterms:modified xsi:type="dcterms:W3CDTF">2024-01-22T08:59:45Z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woTemplateTypoMode" linkTarget="0">
    <vt:lpwstr>web</vt:lpwstr>
  </property>
  <property fmtid="{D5CDD505-2E9C-101B-9397-08002B2CF9AE}" pid="4" name="woTemplate" linkTarget="0">
    <vt:i4>1</vt:i4>
  </property>
</Properties>
</file>