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6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6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67"/>
        <w:gridCol w:w="760"/>
        <w:gridCol w:w="1170"/>
        <w:gridCol w:w="671"/>
        <w:gridCol w:w="1126"/>
        <w:gridCol w:w="695"/>
        <w:gridCol w:w="1172"/>
        <w:gridCol w:w="684"/>
        <w:gridCol w:w="966"/>
        <w:gridCol w:w="900"/>
        <w:gridCol w:w="850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统计范围</w:t>
            </w:r>
          </w:p>
        </w:tc>
        <w:tc>
          <w:tcPr>
            <w:tcW w:w="19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负债总额</w:t>
            </w:r>
          </w:p>
        </w:tc>
        <w:tc>
          <w:tcPr>
            <w:tcW w:w="18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所有权益者总额</w:t>
            </w:r>
          </w:p>
        </w:tc>
        <w:tc>
          <w:tcPr>
            <w:tcW w:w="18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营业收入</w:t>
            </w:r>
          </w:p>
        </w:tc>
        <w:tc>
          <w:tcPr>
            <w:tcW w:w="271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利润总额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9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同比增幅（%）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同期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9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家集团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30,160,388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4.33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18,876,611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9.13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11,283,777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-2.82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,310,027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18.77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31,646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39,887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</w:rPr>
              <w:t>-8,241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62.59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其中：功能类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23,765,130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3.46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15,478,161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9.52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8,286,969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-6.22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320,981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 xml:space="preserve">10.33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1,996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-31,166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33,162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65.13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公共服务类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1,810,337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2.09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920,570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4.89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889,767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-0.65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204,559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 xml:space="preserve">30.62 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-8,610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38,393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-47,003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50.85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竞争类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  <w:t>584</w:t>
            </w: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  <w:t>921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10.07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2,477,880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8.35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2,107,041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12.17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784,487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 xml:space="preserve">19.68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38,260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32,660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5,600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auto"/>
                <w:sz w:val="20"/>
                <w:szCs w:val="20"/>
                <w:lang w:val="en-US" w:eastAsia="zh-CN"/>
              </w:rPr>
              <w:t>54.04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1135C44"/>
    <w:rsid w:val="04F02FA8"/>
    <w:rsid w:val="15F40995"/>
    <w:rsid w:val="27924CE9"/>
    <w:rsid w:val="388A4F8B"/>
    <w:rsid w:val="40640D77"/>
    <w:rsid w:val="41D57D4F"/>
    <w:rsid w:val="601D605D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2021-07-12T03:20:33Z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