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28A" w:rsidRDefault="003C528A">
      <w:pPr>
        <w:spacing w:line="3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附件5</w:t>
      </w:r>
    </w:p>
    <w:p w:rsidR="003C528A" w:rsidRDefault="003C528A">
      <w:pPr>
        <w:spacing w:line="360" w:lineRule="exact"/>
        <w:jc w:val="center"/>
        <w:rPr>
          <w:rFonts w:ascii="宋体" w:hAnsi="宋体"/>
          <w:sz w:val="36"/>
        </w:rPr>
      </w:pPr>
    </w:p>
    <w:p w:rsidR="003C528A" w:rsidRDefault="003C528A">
      <w:pPr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财务情况说明书内容提要</w:t>
      </w:r>
    </w:p>
    <w:p w:rsidR="003C528A" w:rsidRDefault="003C528A" w:rsidP="001B264F">
      <w:pPr>
        <w:spacing w:line="360" w:lineRule="exact"/>
        <w:jc w:val="center"/>
        <w:outlineLvl w:val="0"/>
        <w:rPr>
          <w:rFonts w:ascii="楷体_GB2312" w:eastAsia="楷体_GB2312" w:hAnsi="楷体_GB2312"/>
          <w:sz w:val="24"/>
        </w:rPr>
      </w:pPr>
      <w:r>
        <w:rPr>
          <w:rFonts w:ascii="楷体_GB2312" w:eastAsia="楷体_GB2312" w:hAnsi="楷体_GB2312" w:hint="eastAsia"/>
          <w:sz w:val="24"/>
        </w:rPr>
        <w:t>（供企业参考使用格式）</w:t>
      </w:r>
    </w:p>
    <w:p w:rsidR="003C528A" w:rsidRDefault="003C528A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3C528A" w:rsidRDefault="003C528A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财务情况说明书是年度财务决算报告的重要组成部分。各企业应依据《企业财务会计报告条例》（国务院令第287号）等有关规定，以财务指标和相关统计指标为主要依据，对本年度财务状况、经营成果、风险控制、价值提升等方面进行分析说明，客观反映企业运营特点及发展趋势。财务情况说明书需由财务会计、企业经营、风险控制、资产管理、资金管理等多部门共同撰写。主要包括</w:t>
      </w:r>
      <w:r w:rsidR="00C03B55">
        <w:rPr>
          <w:rFonts w:ascii="仿宋_GB2312" w:eastAsia="仿宋_GB2312" w:hAnsi="宋体" w:hint="eastAsia"/>
          <w:sz w:val="24"/>
        </w:rPr>
        <w:t>但不限于</w:t>
      </w:r>
      <w:r>
        <w:rPr>
          <w:rFonts w:ascii="仿宋_GB2312" w:eastAsia="仿宋_GB2312" w:hAnsi="宋体" w:hint="eastAsia"/>
          <w:sz w:val="24"/>
        </w:rPr>
        <w:t>以下内容：</w:t>
      </w:r>
    </w:p>
    <w:p w:rsidR="003C528A" w:rsidRDefault="003C528A" w:rsidP="001B264F">
      <w:pPr>
        <w:spacing w:line="500" w:lineRule="exact"/>
        <w:ind w:firstLineChars="200" w:firstLine="480"/>
        <w:outlineLvl w:val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一、企业基本财务状况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hint="eastAsia"/>
        </w:rPr>
        <w:t>一</w:t>
      </w:r>
      <w:r>
        <w:rPr>
          <w:rFonts w:ascii="仿宋_GB2312" w:eastAsia="仿宋_GB2312" w:hAnsi="宋体" w:hint="eastAsia"/>
          <w:sz w:val="24"/>
        </w:rPr>
        <w:t>）财务会计政策变化情况。分析重</w:t>
      </w:r>
      <w:r w:rsidR="00443654">
        <w:rPr>
          <w:rFonts w:ascii="仿宋_GB2312" w:eastAsia="仿宋_GB2312" w:hAnsi="宋体" w:hint="eastAsia"/>
          <w:sz w:val="24"/>
        </w:rPr>
        <w:t>要</w:t>
      </w:r>
      <w:r>
        <w:rPr>
          <w:rFonts w:ascii="仿宋_GB2312" w:eastAsia="仿宋_GB2312" w:hAnsi="宋体" w:hint="eastAsia"/>
          <w:sz w:val="24"/>
        </w:rPr>
        <w:t>财务、会计政策、会计估计变更的原因及其对效益的影响。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（二）企业的基本结构情况。分析企业户数、级次及变化情况，包括合并范围户数变化，未纳入合并范围企业及原因。企业重大资产重组及变动情况。</w:t>
      </w:r>
      <w:r>
        <w:rPr>
          <w:rFonts w:eastAsia="仿宋_GB2312" w:hint="eastAsia"/>
          <w:sz w:val="24"/>
        </w:rPr>
        <w:t>企</w:t>
      </w:r>
      <w:r>
        <w:rPr>
          <w:rFonts w:ascii="仿宋_GB2312" w:eastAsia="仿宋_GB2312" w:hAnsi="宋体" w:hint="eastAsia"/>
          <w:sz w:val="24"/>
        </w:rPr>
        <w:t>业职工人数及人工成本、薪酬水平等基本情况。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（三</w:t>
      </w:r>
      <w:r>
        <w:rPr>
          <w:rFonts w:ascii="仿宋_GB2312" w:eastAsia="仿宋_GB2312" w:hAnsi="宋体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企业的资产情况。重点分析企业资产总额、资产结构年度间变化情况及主要原因，企业资产运营质量变化情况及原因。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（四</w:t>
      </w:r>
      <w:r>
        <w:rPr>
          <w:rFonts w:ascii="仿宋_GB2312" w:eastAsia="仿宋_GB2312" w:hAnsi="宋体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企业的负债情况。重点分析负债总额、负债结构年度间变化情况及主要原因，企业偿债能力变化情况及原因。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（五）企业的现金流情况。分析经营、投资、筹资活动产生的现金流入和流出情况。与上年度现金流量情况进行比较，分析包括现金</w:t>
      </w:r>
      <w:proofErr w:type="gramStart"/>
      <w:r>
        <w:rPr>
          <w:rFonts w:ascii="仿宋_GB2312" w:eastAsia="仿宋_GB2312" w:hAnsi="宋体" w:hint="eastAsia"/>
          <w:sz w:val="24"/>
        </w:rPr>
        <w:t>流规模</w:t>
      </w:r>
      <w:proofErr w:type="gramEnd"/>
      <w:r>
        <w:rPr>
          <w:rFonts w:ascii="仿宋_GB2312" w:eastAsia="仿宋_GB2312" w:hAnsi="宋体" w:hint="eastAsia"/>
          <w:sz w:val="24"/>
        </w:rPr>
        <w:t>和结构，流入的主要来源（经营、投资或筹资），流出的主要用途（投资、筹资），分析盈余现金保障倍数、现金流动负债比率、资产现金回收率等指标并与行业对标。对企业本年度现金流产生重大影响的事项说明。</w:t>
      </w:r>
    </w:p>
    <w:p w:rsidR="003C528A" w:rsidRDefault="003C528A" w:rsidP="001B264F">
      <w:pPr>
        <w:spacing w:line="500" w:lineRule="exact"/>
        <w:ind w:firstLineChars="200" w:firstLine="480"/>
        <w:outlineLvl w:val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二、企业经营成果情况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（一）企业生产经营情况。根据经营业务范围清查结果，重点分析企业经营业务范围、生产经营情况，包括主要产品的产量、业务营业量、销售量（出口额、进口额），按照主要业务板块分析宏观经济政策、市场竞争能力、发展趋势及风险情况等，各板块面临的困难与挑战，以及提出提升板块可持续发展能力的意见建议。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（二）企业营业收入情况。重点分析主要业务板块收入占总收入比重，年度间变化情况及主要原因。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（三）企业经营效益情况。重点分析企业</w:t>
      </w:r>
      <w:r w:rsidR="00456783">
        <w:rPr>
          <w:rFonts w:ascii="仿宋_GB2312" w:eastAsia="仿宋_GB2312" w:hAnsi="宋体" w:hint="eastAsia"/>
          <w:sz w:val="24"/>
        </w:rPr>
        <w:t>利润总额年度间变化情况及主要原因，</w:t>
      </w:r>
      <w:r>
        <w:rPr>
          <w:rFonts w:ascii="仿宋_GB2312" w:eastAsia="仿宋_GB2312" w:hAnsi="宋体" w:hint="eastAsia"/>
          <w:sz w:val="24"/>
        </w:rPr>
        <w:t>各业务板块毛利及</w:t>
      </w:r>
      <w:proofErr w:type="gramStart"/>
      <w:r>
        <w:rPr>
          <w:rFonts w:ascii="仿宋_GB2312" w:eastAsia="仿宋_GB2312" w:hAnsi="宋体" w:hint="eastAsia"/>
          <w:sz w:val="24"/>
        </w:rPr>
        <w:t>占效益</w:t>
      </w:r>
      <w:proofErr w:type="gramEnd"/>
      <w:r>
        <w:rPr>
          <w:rFonts w:ascii="仿宋_GB2312" w:eastAsia="仿宋_GB2312" w:hAnsi="宋体" w:hint="eastAsia"/>
          <w:sz w:val="24"/>
        </w:rPr>
        <w:t>贡献比重的盈利结构，及年度间变化情况及主要原因。分析成本费用增减变动的主要因素，包括原材料费用、能源费用、工资性支出、借款利率调整对效益的影响。分析企业净资产收益率、总资产报酬率等盈利能力相关指标的年度间对比和行业对标情况。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（四</w:t>
      </w:r>
      <w:r>
        <w:rPr>
          <w:rFonts w:ascii="仿宋_GB2312" w:eastAsia="仿宋_GB2312" w:hAnsi="宋体"/>
          <w:sz w:val="24"/>
        </w:rPr>
        <w:t>）</w:t>
      </w:r>
      <w:r>
        <w:rPr>
          <w:rFonts w:ascii="仿宋_GB2312" w:eastAsia="仿宋_GB2312" w:hAnsi="宋体" w:hint="eastAsia"/>
          <w:sz w:val="24"/>
        </w:rPr>
        <w:t>企业所有者权益情况。分析所有者权益年度间变化主要情况及原因。会计处理追溯调整影响年初所有者权益的变动情况及原因。所有者权益本年初与</w:t>
      </w:r>
      <w:proofErr w:type="gramStart"/>
      <w:r>
        <w:rPr>
          <w:rFonts w:ascii="仿宋_GB2312" w:eastAsia="仿宋_GB2312" w:hAnsi="宋体" w:hint="eastAsia"/>
          <w:sz w:val="24"/>
        </w:rPr>
        <w:t>上年末因其他</w:t>
      </w:r>
      <w:proofErr w:type="gramEnd"/>
      <w:r>
        <w:rPr>
          <w:rFonts w:ascii="仿宋_GB2312" w:eastAsia="仿宋_GB2312" w:hAnsi="宋体" w:hint="eastAsia"/>
          <w:sz w:val="24"/>
        </w:rPr>
        <w:t>原因变动情况及原因。所有者权益本年度经营因素增减情况及原因。</w:t>
      </w:r>
    </w:p>
    <w:p w:rsidR="003C528A" w:rsidRDefault="003C528A" w:rsidP="001B264F">
      <w:pPr>
        <w:spacing w:line="500" w:lineRule="exact"/>
        <w:ind w:firstLineChars="200" w:firstLine="480"/>
        <w:outlineLvl w:val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三、企业主要经营风险情况</w:t>
      </w:r>
    </w:p>
    <w:p w:rsidR="001B264F" w:rsidRPr="00F13D7B" w:rsidRDefault="001B264F" w:rsidP="001B264F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F13D7B">
        <w:rPr>
          <w:rFonts w:ascii="仿宋_GB2312" w:eastAsia="仿宋_GB2312" w:hAnsi="宋体" w:hint="eastAsia"/>
          <w:sz w:val="24"/>
        </w:rPr>
        <w:t>（一）企业</w:t>
      </w:r>
      <w:r w:rsidR="00443654">
        <w:rPr>
          <w:rFonts w:ascii="仿宋_GB2312" w:eastAsia="仿宋_GB2312" w:hAnsi="宋体" w:hint="eastAsia"/>
          <w:sz w:val="24"/>
        </w:rPr>
        <w:t>投资</w:t>
      </w:r>
      <w:r w:rsidRPr="00F13D7B">
        <w:rPr>
          <w:rFonts w:ascii="仿宋_GB2312" w:eastAsia="仿宋_GB2312" w:hAnsi="宋体" w:hint="eastAsia"/>
          <w:sz w:val="24"/>
        </w:rPr>
        <w:t>情况。分析企业在建项目性质、投资规模、建设进度、预计投入产出、项目未来投产对企业经营的影响等内容。重点分析在建项目及即将上马项目对企业未来生产经营的影响。</w:t>
      </w:r>
    </w:p>
    <w:p w:rsidR="001B264F" w:rsidRPr="00F13D7B" w:rsidRDefault="001B264F" w:rsidP="001B264F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F13D7B">
        <w:rPr>
          <w:rFonts w:ascii="仿宋_GB2312" w:eastAsia="仿宋_GB2312" w:hAnsi="宋体" w:hint="eastAsia"/>
          <w:sz w:val="24"/>
        </w:rPr>
        <w:t>（二）企业</w:t>
      </w:r>
      <w:r w:rsidR="00BD10EA">
        <w:rPr>
          <w:rFonts w:ascii="仿宋_GB2312" w:eastAsia="仿宋_GB2312" w:hAnsi="宋体" w:hint="eastAsia"/>
          <w:sz w:val="24"/>
        </w:rPr>
        <w:t>负债</w:t>
      </w:r>
      <w:r w:rsidRPr="00F13D7B">
        <w:rPr>
          <w:rFonts w:ascii="仿宋_GB2312" w:eastAsia="仿宋_GB2312" w:hAnsi="宋体" w:hint="eastAsia"/>
          <w:sz w:val="24"/>
        </w:rPr>
        <w:t>情况。分析企业融资环境、融资方式、融资困难及年末债务规模</w:t>
      </w:r>
      <w:r w:rsidR="00456783">
        <w:rPr>
          <w:rFonts w:ascii="仿宋_GB2312" w:eastAsia="仿宋_GB2312" w:hAnsi="宋体" w:hint="eastAsia"/>
          <w:sz w:val="24"/>
        </w:rPr>
        <w:t>（包括“明股实债”）</w:t>
      </w:r>
      <w:r w:rsidRPr="00F13D7B">
        <w:rPr>
          <w:rFonts w:ascii="仿宋_GB2312" w:eastAsia="仿宋_GB2312" w:hAnsi="宋体" w:hint="eastAsia"/>
          <w:sz w:val="24"/>
        </w:rPr>
        <w:t>、结构</w:t>
      </w:r>
      <w:r w:rsidR="00BD10EA">
        <w:rPr>
          <w:rFonts w:ascii="仿宋_GB2312" w:eastAsia="仿宋_GB2312" w:hAnsi="宋体" w:hint="eastAsia"/>
          <w:sz w:val="24"/>
        </w:rPr>
        <w:t>、成本</w:t>
      </w:r>
      <w:r w:rsidRPr="00F13D7B">
        <w:rPr>
          <w:rFonts w:ascii="仿宋_GB2312" w:eastAsia="仿宋_GB2312" w:hAnsi="宋体" w:hint="eastAsia"/>
          <w:sz w:val="24"/>
        </w:rPr>
        <w:t>等情况，重点分析未来债务规模及流动性风险，以及应对流动性风险的措施。</w:t>
      </w:r>
    </w:p>
    <w:p w:rsidR="001B264F" w:rsidRPr="00F13D7B" w:rsidRDefault="001B264F" w:rsidP="001B264F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F13D7B">
        <w:rPr>
          <w:rFonts w:ascii="仿宋_GB2312" w:eastAsia="仿宋_GB2312" w:hAnsi="宋体" w:hint="eastAsia"/>
          <w:sz w:val="24"/>
        </w:rPr>
        <w:t>（三）企业担保业务情况。分析年末企业对外担保规模、收益以及风险管控情况。梳理是否按照市国资委文件规定落实有关担保要求，是否存在担保风险。对已发生对外担保风险事项的后续进展情况做进一步分析。</w:t>
      </w:r>
    </w:p>
    <w:p w:rsidR="00C27C40" w:rsidRPr="00F13D7B" w:rsidRDefault="00C27C40" w:rsidP="001B264F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F13D7B">
        <w:rPr>
          <w:rFonts w:ascii="仿宋_GB2312" w:eastAsia="仿宋_GB2312" w:hAnsi="宋体" w:hint="eastAsia"/>
          <w:sz w:val="24"/>
        </w:rPr>
        <w:t>（四）企业资金</w:t>
      </w:r>
      <w:r w:rsidR="005659D0" w:rsidRPr="00F13D7B">
        <w:rPr>
          <w:rFonts w:ascii="仿宋_GB2312" w:eastAsia="仿宋_GB2312" w:hAnsi="宋体" w:hint="eastAsia"/>
          <w:sz w:val="24"/>
        </w:rPr>
        <w:t>出借情况。</w:t>
      </w:r>
      <w:r w:rsidR="00F13D7B" w:rsidRPr="00F13D7B">
        <w:rPr>
          <w:rFonts w:ascii="仿宋_GB2312" w:eastAsia="仿宋_GB2312" w:hAnsi="宋体" w:hint="eastAsia"/>
          <w:sz w:val="24"/>
        </w:rPr>
        <w:t>分析年末企业以委托贷款或直接出借方式出借资</w:t>
      </w:r>
      <w:r w:rsidR="00F13D7B" w:rsidRPr="00F13D7B">
        <w:rPr>
          <w:rFonts w:ascii="仿宋_GB2312" w:eastAsia="仿宋_GB2312" w:hAnsi="宋体" w:hint="eastAsia"/>
          <w:sz w:val="24"/>
        </w:rPr>
        <w:lastRenderedPageBreak/>
        <w:t>金规模、收益以及风险管控情况。梳理是否按照市国资委文件落实有关要求，是否存在收回风险。对已发生的风险事项的后续进展情况做进一步分析。</w:t>
      </w:r>
    </w:p>
    <w:p w:rsidR="001B264F" w:rsidRPr="00F13D7B" w:rsidRDefault="00F13D7B" w:rsidP="001B264F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F13D7B">
        <w:rPr>
          <w:rFonts w:ascii="仿宋_GB2312" w:eastAsia="仿宋_GB2312" w:hAnsi="宋体" w:hint="eastAsia"/>
          <w:sz w:val="24"/>
        </w:rPr>
        <w:t>（五</w:t>
      </w:r>
      <w:r w:rsidR="001B264F" w:rsidRPr="00F13D7B">
        <w:rPr>
          <w:rFonts w:ascii="仿宋_GB2312" w:eastAsia="仿宋_GB2312" w:hAnsi="宋体" w:hint="eastAsia"/>
          <w:sz w:val="24"/>
        </w:rPr>
        <w:t>）企业高风险业务情况。分析企业委托理财、股票投资、基金投资、金融衍生品等业务的投资规模、盈利、风险情况，以及相应的风险管理措施。</w:t>
      </w:r>
    </w:p>
    <w:p w:rsidR="001B264F" w:rsidRPr="00F13D7B" w:rsidRDefault="00F13D7B" w:rsidP="001B264F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F13D7B">
        <w:rPr>
          <w:rFonts w:ascii="仿宋_GB2312" w:eastAsia="仿宋_GB2312" w:hAnsi="宋体" w:hint="eastAsia"/>
          <w:sz w:val="24"/>
        </w:rPr>
        <w:t>（六</w:t>
      </w:r>
      <w:r w:rsidR="001B264F" w:rsidRPr="00F13D7B">
        <w:rPr>
          <w:rFonts w:ascii="仿宋_GB2312" w:eastAsia="仿宋_GB2312" w:hAnsi="宋体" w:hint="eastAsia"/>
          <w:sz w:val="24"/>
        </w:rPr>
        <w:t>）其他重大经营风险事项情况。除上述业务以外，分析企业年度内已发生</w:t>
      </w:r>
      <w:r w:rsidR="00C27C40" w:rsidRPr="00F13D7B">
        <w:rPr>
          <w:rFonts w:ascii="仿宋_GB2312" w:eastAsia="仿宋_GB2312" w:hAnsi="宋体" w:hint="eastAsia"/>
          <w:sz w:val="24"/>
        </w:rPr>
        <w:t>或潜在</w:t>
      </w:r>
      <w:r w:rsidR="001B264F" w:rsidRPr="00F13D7B">
        <w:rPr>
          <w:rFonts w:ascii="仿宋_GB2312" w:eastAsia="仿宋_GB2312" w:hAnsi="宋体" w:hint="eastAsia"/>
          <w:sz w:val="24"/>
        </w:rPr>
        <w:t>的重大经营风险情况，以前年度发生重大经营风险事项采取的风险管控措施以及</w:t>
      </w:r>
      <w:proofErr w:type="gramStart"/>
      <w:r w:rsidR="001B264F" w:rsidRPr="00F13D7B">
        <w:rPr>
          <w:rFonts w:ascii="仿宋_GB2312" w:eastAsia="仿宋_GB2312" w:hAnsi="宋体" w:hint="eastAsia"/>
          <w:sz w:val="24"/>
        </w:rPr>
        <w:t>进展成效</w:t>
      </w:r>
      <w:proofErr w:type="gramEnd"/>
      <w:r w:rsidR="001B264F" w:rsidRPr="00F13D7B">
        <w:rPr>
          <w:rFonts w:ascii="仿宋_GB2312" w:eastAsia="仿宋_GB2312" w:hAnsi="宋体" w:hint="eastAsia"/>
          <w:sz w:val="24"/>
        </w:rPr>
        <w:t>情况。</w:t>
      </w:r>
    </w:p>
    <w:p w:rsidR="003C528A" w:rsidRPr="00960327" w:rsidRDefault="003C528A" w:rsidP="001B264F">
      <w:pPr>
        <w:spacing w:line="500" w:lineRule="exact"/>
        <w:ind w:firstLineChars="200" w:firstLine="480"/>
        <w:outlineLvl w:val="0"/>
        <w:rPr>
          <w:rFonts w:ascii="黑体" w:eastAsia="黑体" w:hAnsi="宋体"/>
          <w:sz w:val="24"/>
        </w:rPr>
      </w:pPr>
      <w:r w:rsidRPr="00960327">
        <w:rPr>
          <w:rFonts w:ascii="黑体" w:eastAsia="黑体" w:hAnsi="宋体" w:hint="eastAsia"/>
          <w:sz w:val="24"/>
        </w:rPr>
        <w:t>四、企业财务价值提升情况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（一）企业成本费用管理情况。分析企业各项成本费用预算目标完成情况，成本费用列支渠道规范情况。分析全年采取加强成本费用控制的措施，以及取得的成效。分析各板块与同行业先进企业成本费用对</w:t>
      </w:r>
      <w:proofErr w:type="gramStart"/>
      <w:r>
        <w:rPr>
          <w:rFonts w:ascii="仿宋_GB2312" w:eastAsia="仿宋_GB2312" w:hAnsi="宋体" w:hint="eastAsia"/>
          <w:sz w:val="24"/>
        </w:rPr>
        <w:t>标情况</w:t>
      </w:r>
      <w:proofErr w:type="gramEnd"/>
      <w:r>
        <w:rPr>
          <w:rFonts w:ascii="仿宋_GB2312" w:eastAsia="仿宋_GB2312" w:hAnsi="宋体" w:hint="eastAsia"/>
          <w:sz w:val="24"/>
        </w:rPr>
        <w:t>及影响因素，研究加强成本费用控制的意见建议。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二）企业低效及无效资产清理情况。分析企业亏损户数、亏损面、亏损额及长期亏损企业的原因及对策。分析企业长期低效、无效投资、存货、应收款项、固定资产等情况。分析企业本年通过清理低效、无效资产盘活的资产情况。分析当前资产管理中存在的问题，及改进措施建议。</w:t>
      </w:r>
    </w:p>
    <w:p w:rsidR="003C528A" w:rsidRDefault="003C528A">
      <w:pPr>
        <w:tabs>
          <w:tab w:val="left" w:pos="8595"/>
        </w:tabs>
        <w:spacing w:line="500" w:lineRule="exact"/>
        <w:ind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（三）</w:t>
      </w:r>
      <w:r>
        <w:rPr>
          <w:rFonts w:ascii="仿宋_GB2312" w:eastAsia="仿宋_GB2312" w:hAnsi="宋体"/>
          <w:sz w:val="24"/>
        </w:rPr>
        <w:t>企业</w:t>
      </w:r>
      <w:r>
        <w:rPr>
          <w:rFonts w:ascii="仿宋_GB2312" w:eastAsia="仿宋_GB2312" w:hAnsi="宋体" w:hint="eastAsia"/>
          <w:sz w:val="24"/>
        </w:rPr>
        <w:t>加强资金管理情况。分析本年企业融资结构调整情况，以及取得的成效。分析企业</w:t>
      </w:r>
      <w:r>
        <w:rPr>
          <w:rFonts w:ascii="仿宋_GB2312" w:eastAsia="仿宋_GB2312" w:hAnsi="宋体"/>
          <w:sz w:val="24"/>
        </w:rPr>
        <w:t>开展资金集中管理</w:t>
      </w:r>
      <w:r>
        <w:rPr>
          <w:rFonts w:ascii="仿宋_GB2312" w:eastAsia="仿宋_GB2312" w:hAnsi="宋体" w:hint="eastAsia"/>
          <w:sz w:val="24"/>
        </w:rPr>
        <w:t>情况</w:t>
      </w:r>
      <w:r>
        <w:rPr>
          <w:rFonts w:ascii="仿宋_GB2312" w:eastAsia="仿宋_GB2312" w:hAnsi="宋体"/>
          <w:sz w:val="24"/>
        </w:rPr>
        <w:t>，包括资金集中管理的范围</w:t>
      </w:r>
      <w:r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/>
          <w:sz w:val="24"/>
        </w:rPr>
        <w:t>资金集中度、工作成效及难点。</w:t>
      </w:r>
      <w:r w:rsidR="00443654">
        <w:rPr>
          <w:rFonts w:ascii="仿宋_GB2312" w:eastAsia="仿宋_GB2312" w:hAnsi="宋体" w:hint="eastAsia"/>
          <w:sz w:val="24"/>
        </w:rPr>
        <w:t>分析企业开展资金存放管理情况</w:t>
      </w:r>
      <w:r w:rsidR="00456783">
        <w:rPr>
          <w:rFonts w:ascii="仿宋_GB2312" w:eastAsia="仿宋_GB2312" w:hAnsi="宋体" w:hint="eastAsia"/>
          <w:sz w:val="24"/>
        </w:rPr>
        <w:t>及取得的效果</w:t>
      </w:r>
      <w:r w:rsidR="00443654">
        <w:rPr>
          <w:rFonts w:ascii="仿宋_GB2312" w:eastAsia="仿宋_GB2312" w:hAnsi="宋体" w:hint="eastAsia"/>
          <w:sz w:val="24"/>
        </w:rPr>
        <w:t>，包括银行账户管理、资金存放规则、方式及决策程序。</w:t>
      </w:r>
      <w:r>
        <w:rPr>
          <w:rFonts w:ascii="仿宋_GB2312" w:eastAsia="仿宋_GB2312" w:hAnsi="宋体" w:hint="eastAsia"/>
          <w:sz w:val="24"/>
        </w:rPr>
        <w:t>分析、提出在加强资金管理方面遇到的问题及建议。</w:t>
      </w:r>
    </w:p>
    <w:p w:rsidR="003C528A" w:rsidRDefault="003C528A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（四）本年度税收筹划情况。分析企业本年度因税赋调整（营改增、税率变动等）对效益产生的影响。分析企业通过税收筹划节约的税收支出，以及当前涉税方面存在主要问题，以及有关措施建议。</w:t>
      </w:r>
    </w:p>
    <w:p w:rsidR="003C528A" w:rsidRDefault="003C528A">
      <w:pPr>
        <w:spacing w:line="5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五、企业内部控制及问题整改情况</w:t>
      </w:r>
    </w:p>
    <w:p w:rsidR="003C528A" w:rsidRDefault="003C528A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（一）风险治理和内控管理的组织架构及相关职能部门运转情况。</w:t>
      </w:r>
    </w:p>
    <w:p w:rsidR="003C528A" w:rsidRDefault="003C528A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（二）风险和内控管理制度及实施情况。</w:t>
      </w:r>
    </w:p>
    <w:p w:rsidR="003C528A" w:rsidRDefault="003C528A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（三）企业对有关方面的检查、审计等监管工作中发现问题的整改落实情况及拟采取的主要措施。</w:t>
      </w:r>
    </w:p>
    <w:p w:rsidR="003C528A" w:rsidRDefault="00F13D7B" w:rsidP="001B264F">
      <w:pPr>
        <w:spacing w:line="500" w:lineRule="exact"/>
        <w:ind w:firstLineChars="200" w:firstLine="480"/>
        <w:outlineLvl w:val="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3C528A" w:rsidRPr="00876C1C">
        <w:rPr>
          <w:rFonts w:ascii="黑体" w:eastAsia="黑体" w:hAnsi="宋体" w:hint="eastAsia"/>
          <w:sz w:val="24"/>
        </w:rPr>
        <w:t>、</w:t>
      </w:r>
      <w:r w:rsidR="00EB33CB" w:rsidRPr="00876C1C">
        <w:rPr>
          <w:rFonts w:ascii="黑体" w:eastAsia="黑体" w:hAnsi="宋体" w:hint="eastAsia"/>
          <w:sz w:val="24"/>
        </w:rPr>
        <w:t>对加强企业财务管理和</w:t>
      </w:r>
      <w:r w:rsidR="003C528A" w:rsidRPr="00876C1C">
        <w:rPr>
          <w:rFonts w:ascii="黑体" w:eastAsia="黑体" w:hAnsi="宋体" w:hint="eastAsia"/>
          <w:sz w:val="24"/>
        </w:rPr>
        <w:t>改进财务</w:t>
      </w:r>
      <w:bookmarkStart w:id="0" w:name="_GoBack"/>
      <w:bookmarkEnd w:id="0"/>
      <w:r w:rsidR="003C528A" w:rsidRPr="00876C1C">
        <w:rPr>
          <w:rFonts w:ascii="黑体" w:eastAsia="黑体" w:hAnsi="宋体" w:hint="eastAsia"/>
          <w:sz w:val="24"/>
        </w:rPr>
        <w:t>决算工作的有关</w:t>
      </w:r>
      <w:r w:rsidR="003C528A">
        <w:rPr>
          <w:rFonts w:ascii="黑体" w:eastAsia="黑体" w:hAnsi="宋体" w:hint="eastAsia"/>
          <w:sz w:val="24"/>
        </w:rPr>
        <w:t>建议。</w:t>
      </w:r>
    </w:p>
    <w:sectPr w:rsidR="003C528A" w:rsidSect="00F65DAA">
      <w:footerReference w:type="default" r:id="rId7"/>
      <w:type w:val="continuous"/>
      <w:pgSz w:w="11907" w:h="16840"/>
      <w:pgMar w:top="1797" w:right="1797" w:bottom="1797" w:left="1797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E4" w:rsidRDefault="007C08E4">
      <w:r>
        <w:separator/>
      </w:r>
    </w:p>
  </w:endnote>
  <w:endnote w:type="continuationSeparator" w:id="0">
    <w:p w:rsidR="007C08E4" w:rsidRDefault="007C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8A" w:rsidRDefault="00F65DAA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 w:rsidR="003C528A">
      <w:rPr>
        <w:rStyle w:val="a3"/>
      </w:rPr>
      <w:instrText xml:space="preserve">PAGE  </w:instrText>
    </w:r>
    <w:r>
      <w:fldChar w:fldCharType="separate"/>
    </w:r>
    <w:r w:rsidR="00876C1C">
      <w:rPr>
        <w:rStyle w:val="a3"/>
        <w:noProof/>
      </w:rPr>
      <w:t>1</w:t>
    </w:r>
    <w:r>
      <w:fldChar w:fldCharType="end"/>
    </w:r>
  </w:p>
  <w:p w:rsidR="003C528A" w:rsidRDefault="003C52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E4" w:rsidRDefault="007C08E4">
      <w:r>
        <w:separator/>
      </w:r>
    </w:p>
  </w:footnote>
  <w:footnote w:type="continuationSeparator" w:id="0">
    <w:p w:rsidR="007C08E4" w:rsidRDefault="007C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B264F"/>
    <w:rsid w:val="003C528A"/>
    <w:rsid w:val="00443654"/>
    <w:rsid w:val="00456783"/>
    <w:rsid w:val="004B44FF"/>
    <w:rsid w:val="004C4AC4"/>
    <w:rsid w:val="005659D0"/>
    <w:rsid w:val="007C08E4"/>
    <w:rsid w:val="00827C3C"/>
    <w:rsid w:val="00876C1C"/>
    <w:rsid w:val="00960327"/>
    <w:rsid w:val="009E5674"/>
    <w:rsid w:val="00BD10EA"/>
    <w:rsid w:val="00C03B55"/>
    <w:rsid w:val="00C27C40"/>
    <w:rsid w:val="00EB33CB"/>
    <w:rsid w:val="00F13D7B"/>
    <w:rsid w:val="00F65DAA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5DAA"/>
  </w:style>
  <w:style w:type="character" w:styleId="a4">
    <w:name w:val="annotation reference"/>
    <w:basedOn w:val="a0"/>
    <w:rsid w:val="00F65DAA"/>
    <w:rPr>
      <w:sz w:val="21"/>
    </w:rPr>
  </w:style>
  <w:style w:type="character" w:customStyle="1" w:styleId="Char">
    <w:name w:val="页眉 Char"/>
    <w:basedOn w:val="a0"/>
    <w:link w:val="a5"/>
    <w:rsid w:val="00F65DAA"/>
    <w:rPr>
      <w:kern w:val="2"/>
      <w:sz w:val="18"/>
    </w:rPr>
  </w:style>
  <w:style w:type="paragraph" w:styleId="a6">
    <w:name w:val="Body Text Indent"/>
    <w:basedOn w:val="a"/>
    <w:rsid w:val="00F65DAA"/>
    <w:pPr>
      <w:ind w:firstLine="420"/>
    </w:pPr>
    <w:rPr>
      <w:rFonts w:ascii="宋体"/>
    </w:rPr>
  </w:style>
  <w:style w:type="paragraph" w:styleId="a5">
    <w:name w:val="header"/>
    <w:basedOn w:val="a"/>
    <w:link w:val="Char"/>
    <w:rsid w:val="00F65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annotation text"/>
    <w:basedOn w:val="a"/>
    <w:rsid w:val="00F65DAA"/>
    <w:pPr>
      <w:jc w:val="left"/>
    </w:pPr>
  </w:style>
  <w:style w:type="paragraph" w:styleId="a8">
    <w:name w:val="footer"/>
    <w:basedOn w:val="a"/>
    <w:rsid w:val="00F65D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annotation subject"/>
    <w:basedOn w:val="a7"/>
    <w:next w:val="a7"/>
    <w:rsid w:val="00F65DAA"/>
    <w:rPr>
      <w:b/>
    </w:rPr>
  </w:style>
  <w:style w:type="paragraph" w:styleId="aa">
    <w:name w:val="Balloon Text"/>
    <w:basedOn w:val="a"/>
    <w:rsid w:val="00F65DAA"/>
    <w:rPr>
      <w:sz w:val="18"/>
    </w:rPr>
  </w:style>
  <w:style w:type="paragraph" w:customStyle="1" w:styleId="Char0">
    <w:name w:val="Char"/>
    <w:basedOn w:val="a"/>
    <w:rsid w:val="00F65DAA"/>
    <w:pPr>
      <w:widowControl/>
      <w:spacing w:before="100" w:beforeAutospacing="1" w:after="100" w:afterAutospacing="1" w:line="360" w:lineRule="auto"/>
      <w:ind w:left="360" w:firstLine="624"/>
      <w:jc w:val="left"/>
    </w:pPr>
    <w:rPr>
      <w:sz w:val="18"/>
    </w:rPr>
  </w:style>
  <w:style w:type="paragraph" w:customStyle="1" w:styleId="CharChar1CharCharCharCharCharCharChar">
    <w:name w:val="Char Char1 Char Char Char Char Char Char Char"/>
    <w:basedOn w:val="a"/>
    <w:rsid w:val="00F65DAA"/>
    <w:rPr>
      <w:szCs w:val="24"/>
    </w:rPr>
  </w:style>
  <w:style w:type="paragraph" w:styleId="ab">
    <w:name w:val="Document Map"/>
    <w:basedOn w:val="a"/>
    <w:link w:val="Char1"/>
    <w:uiPriority w:val="99"/>
    <w:semiHidden/>
    <w:unhideWhenUsed/>
    <w:rsid w:val="001B264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b"/>
    <w:uiPriority w:val="99"/>
    <w:semiHidden/>
    <w:rsid w:val="001B264F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l</dc:creator>
  <cp:lastModifiedBy>gwz-a06</cp:lastModifiedBy>
  <cp:revision>6</cp:revision>
  <cp:lastPrinted>1900-12-31T16:00:00Z</cp:lastPrinted>
  <dcterms:created xsi:type="dcterms:W3CDTF">2017-12-22T08:18:00Z</dcterms:created>
  <dcterms:modified xsi:type="dcterms:W3CDTF">2019-12-25T04:19:00Z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