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ascii="方正小标宋简体" w:eastAsia="方正小标宋简体"/>
          <w:sz w:val="44"/>
          <w:szCs w:val="44"/>
        </w:rPr>
        <w:t>1</w:t>
      </w:r>
      <w:r>
        <w:rPr>
          <w:rFonts w:hint="eastAsia" w:ascii="方正小标宋简体" w:eastAsia="方正小标宋简体"/>
          <w:sz w:val="44"/>
          <w:szCs w:val="44"/>
        </w:rPr>
        <w:t>年度招商引资目标任务分解表</w:t>
      </w:r>
    </w:p>
    <w:p>
      <w:pPr>
        <w:tabs>
          <w:tab w:val="left" w:pos="360"/>
        </w:tabs>
        <w:spacing w:line="580" w:lineRule="exact"/>
        <w:rPr>
          <w:rFonts w:ascii="黑体" w:hAnsi="黑体" w:eastAsia="黑体" w:cs="黑体"/>
          <w:color w:val="000000"/>
          <w:sz w:val="32"/>
          <w:szCs w:val="32"/>
        </w:rPr>
      </w:pPr>
    </w:p>
    <w:tbl>
      <w:tblPr>
        <w:tblStyle w:val="3"/>
        <w:tblW w:w="995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4975"/>
        <w:gridCol w:w="1217"/>
        <w:gridCol w:w="1460"/>
        <w:gridCol w:w="1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市属国有企业</w:t>
            </w:r>
          </w:p>
        </w:tc>
        <w:tc>
          <w:tcPr>
            <w:tcW w:w="4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计划完成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4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到位资金</w:t>
            </w:r>
          </w:p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谋划项目数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</w:rPr>
              <w:t>落地项目数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4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温州市国有资本投资运营有限公司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5000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3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温州市城市建设发展集团有限公司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130000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温州市交通发展集团有限公司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4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温州市铁路与轨道交通投资集团有限公司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4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温州市公用事业发展集团有限公司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温州市交通运输集团有限公司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1500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温州市现代服务业发展集团有限公司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41000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温州市工业与能源发展集团有限公司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80000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温州建设集团有限公司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1500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2</w:t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  <w:jc w:val="center"/>
        </w:trPr>
        <w:tc>
          <w:tcPr>
            <w:tcW w:w="8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380000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35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fldChar w:fldCharType="begin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instrText xml:space="preserve"> = sum(D4:D12) \* MERGEFORMAT </w:instrTex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fldChar w:fldCharType="separate"/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fldChar w:fldCharType="end"/>
            </w:r>
          </w:p>
        </w:tc>
        <w:tc>
          <w:tcPr>
            <w:tcW w:w="14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10</w:t>
            </w:r>
          </w:p>
        </w:tc>
      </w:tr>
    </w:tbl>
    <w:p>
      <w:pPr>
        <w:tabs>
          <w:tab w:val="left" w:pos="360"/>
        </w:tabs>
        <w:spacing w:line="580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tabs>
          <w:tab w:val="left" w:pos="360"/>
        </w:tabs>
        <w:spacing w:line="58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465E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endnote text"/>
    <w:basedOn w:val="1"/>
    <w:qFormat/>
    <w:uiPriority w:val="0"/>
    <w:rPr>
      <w:rFonts w:ascii="Calibri" w:hAnsi="Calibri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2021-04-30T01:58:43Z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