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仿宋_GB2312" w:eastAsia="黑体"/>
          <w:spacing w:val="-4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/>
          <w:spacing w:val="-4"/>
          <w:sz w:val="32"/>
          <w:szCs w:val="32"/>
          <w:highlight w:val="none"/>
        </w:rPr>
        <w:t>附</w:t>
      </w:r>
      <w:r>
        <w:rPr>
          <w:rFonts w:hint="eastAsia" w:ascii="黑体" w:eastAsia="黑体"/>
          <w:spacing w:val="-4"/>
          <w:sz w:val="32"/>
          <w:szCs w:val="32"/>
          <w:highlight w:val="none"/>
          <w:lang w:eastAsia="zh-CN"/>
        </w:rPr>
        <w:t>件</w:t>
      </w:r>
      <w:r>
        <w:rPr>
          <w:rFonts w:hint="eastAsia" w:ascii="黑体" w:eastAsia="黑体"/>
          <w:spacing w:val="-4"/>
          <w:sz w:val="32"/>
          <w:szCs w:val="32"/>
          <w:highlight w:val="none"/>
          <w:lang w:val="en-US" w:eastAsia="zh-CN"/>
        </w:rPr>
        <w:t>3</w:t>
      </w:r>
    </w:p>
    <w:p>
      <w:pPr>
        <w:spacing w:line="560" w:lineRule="exact"/>
        <w:jc w:val="center"/>
        <w:rPr>
          <w:rFonts w:ascii="方正小标宋简体" w:eastAsia="方正小标宋简体"/>
          <w:spacing w:val="-4"/>
          <w:sz w:val="44"/>
          <w:szCs w:val="44"/>
          <w:highlight w:val="none"/>
        </w:rPr>
      </w:pP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素质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  <w:lang w:eastAsia="zh-CN"/>
        </w:rPr>
        <w:t>评价</w:t>
      </w:r>
      <w:r>
        <w:rPr>
          <w:rFonts w:hint="eastAsia" w:ascii="方正小标宋简体" w:eastAsia="方正小标宋简体"/>
          <w:spacing w:val="-4"/>
          <w:sz w:val="44"/>
          <w:szCs w:val="44"/>
          <w:highlight w:val="none"/>
        </w:rPr>
        <w:t>方法</w:t>
      </w:r>
    </w:p>
    <w:tbl>
      <w:tblPr>
        <w:tblStyle w:val="2"/>
        <w:tblW w:w="14553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1065"/>
        <w:gridCol w:w="6067"/>
        <w:gridCol w:w="2720"/>
        <w:gridCol w:w="4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指标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评分标准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分值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4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1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学历</w:t>
            </w:r>
          </w:p>
          <w:p>
            <w:pPr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学位</w:t>
            </w:r>
          </w:p>
          <w:p>
            <w:pPr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大专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4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1.以最高学历计算，不重复计分；</w:t>
            </w:r>
          </w:p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2.国外获得的学历学位，需经教育部出国留学服务中心认定，为全日制学历。</w:t>
            </w:r>
          </w:p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统招全日制大专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非全日制大学本科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统招全日制大学本科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统招“211”等重点大学全日制本科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统招全日制硕士研究生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统招“985”“211”等重点大学全日制硕士研究生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2</w:t>
            </w:r>
          </w:p>
        </w:tc>
        <w:tc>
          <w:tcPr>
            <w:tcW w:w="1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职称、执业资格证书</w:t>
            </w: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无职称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0</w:t>
            </w:r>
          </w:p>
        </w:tc>
        <w:tc>
          <w:tcPr>
            <w:tcW w:w="4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ascii="仿宋_GB2312" w:eastAsia="仿宋_GB2312"/>
                <w:spacing w:val="-4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pacing w:val="-4"/>
                <w:sz w:val="24"/>
                <w:highlight w:val="none"/>
              </w:rPr>
              <w:t>职称要求与应聘岗位相关，按持有最高计分证书计算，不重复计分。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初级职称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中级职称、二级注册类执业资格、岗位证书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1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  <w:tc>
          <w:tcPr>
            <w:tcW w:w="6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副高职称及以上、一级注册类执业资格</w:t>
            </w:r>
          </w:p>
        </w:tc>
        <w:tc>
          <w:tcPr>
            <w:tcW w:w="2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4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pacing w:val="-4"/>
                <w:sz w:val="24"/>
                <w:highlight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417" w:right="1134" w:bottom="1417" w:left="1134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03F9E"/>
    <w:rsid w:val="49C0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2020-06-05T07:06:00Z</dcterms:created>
  <dc:creator>贰分之柒</dc:creator>
  <cp:lastModifiedBy>贰分之柒</cp:lastModifiedBy>
  <dcterms:modified xsi:type="dcterms:W3CDTF">2020-06-05T07:06:59Z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