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温州联合产权交易中心关于国有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房产土地租赁权交易业务服务的优化方案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加强市属国有企业房产土地租赁管理的若干指导意见》（温国资委〔2021〕51号）文件精神，温州联合产权交易中心按照“规范、精简、降费、提速”的原则，坚持以提质增效为导向，对分步进入产权交易机构的100万元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国有企业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房产土地租赁权交易，确定相应服务优化方案如下：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一、缩短交易时限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将委托受理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原有流程的3个工作日缩短至1个工作日；资金结算由原来标准的5个工作日减少至3个工作日，资金结算后次日出具交易鉴证书。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二、简化申请材料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</w:t>
      </w:r>
      <w:r>
        <w:rPr>
          <w:rFonts w:hint="eastAsia" w:ascii="仿宋_GB2312" w:hAnsi="仿宋_GB2312" w:eastAsia="仿宋_GB2312" w:cs="仿宋_GB2312"/>
          <w:sz w:val="32"/>
          <w:szCs w:val="32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流程</w:t>
      </w:r>
      <w:r>
        <w:rPr>
          <w:rFonts w:hint="eastAsia" w:ascii="仿宋_GB2312" w:hAnsi="仿宋_GB2312" w:eastAsia="仿宋_GB2312" w:cs="仿宋_GB2312"/>
          <w:sz w:val="32"/>
          <w:szCs w:val="32"/>
        </w:rPr>
        <w:t>后仅需提供信息披露表、法人营业执照、权属证明材料、资产租赁行为及方案的内部决议、评估核准或备案表、资产租赁合同（样稿）等资料，较优化前减少资料8份。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三、下调收费标准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（一）免收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国有企业转让方</w:t>
      </w:r>
      <w:r>
        <w:rPr>
          <w:rFonts w:hint="eastAsia" w:ascii="仿宋_GB2312" w:hAnsi="仿宋_GB2312" w:eastAsia="仿宋_GB2312" w:cs="仿宋_GB2312"/>
          <w:sz w:val="32"/>
          <w:szCs w:val="32"/>
        </w:rPr>
        <w:t>7000元信息公告费（转让方如有纸质媒体等刊登要求，相关费用由转让方另行支付）。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（二）免收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国有企业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转让方交易服务费。原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国有企业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转让方交易服务费按转让底价月租金的5%与溢价（成交价与转让底价之差）5%之和收取。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（三）下调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受让方</w:t>
      </w:r>
      <w:r>
        <w:rPr>
          <w:rFonts w:hint="eastAsia" w:ascii="仿宋_GB2312" w:hAnsi="仿宋_GB2312" w:eastAsia="仿宋_GB2312" w:cs="仿宋_GB2312"/>
          <w:sz w:val="32"/>
          <w:szCs w:val="32"/>
        </w:rPr>
        <w:t>单宗交易服务费收费标准。受让方交易服务费收费标准由原有的不低于2000元/宗调整为500元/宗（招投标及综合评议方式除外）。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四、增设数字端口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提供更广信息发布平台，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接入浙交汇网络端口，协同完善浙交汇系统本地化运用，提供线上交易、线上结算、信息跟踪等服务功能。同时，可以使用浙交汇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(手机应用程序)</w:t>
      </w:r>
      <w:r>
        <w:rPr>
          <w:rFonts w:hint="eastAsia" w:ascii="仿宋_GB2312" w:hAnsi="仿宋_GB2312" w:eastAsia="仿宋_GB2312" w:cs="仿宋_GB2312"/>
          <w:sz w:val="32"/>
          <w:szCs w:val="32"/>
        </w:rPr>
        <w:t>，实现移动端和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端的自由切换，为委托方项目交易带来便利、高效。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CB2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/>
      <w:kern w:val="0"/>
      <w:sz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gzw-009</dc:creator>
  <cp:lastModifiedBy>gzw-009</cp:lastModifiedBy>
  <dcterms:modified xsi:type="dcterms:W3CDTF">2021-06-16T08:56:20Z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