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20" w:lineRule="exact"/>
        <w:ind w:right="-58"/>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2021年度温州市国资系统万人评</w:t>
      </w:r>
    </w:p>
    <w:p>
      <w:pPr>
        <w:spacing w:line="520" w:lineRule="exact"/>
        <w:ind w:right="-58"/>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国企中层部室和所属企业活动评价细则</w:t>
      </w:r>
    </w:p>
    <w:p>
      <w:pPr>
        <w:spacing w:line="200" w:lineRule="exact"/>
        <w:ind w:right="-57"/>
        <w:jc w:val="center"/>
        <w:rPr>
          <w:rFonts w:hint="eastAsia" w:ascii="方正小标宋简体" w:hAnsi="方正小标宋简体" w:eastAsia="方正小标宋简体" w:cs="方正小标宋简体"/>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824"/>
        <w:gridCol w:w="525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51"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评价</w:t>
            </w:r>
          </w:p>
          <w:p>
            <w:pPr>
              <w:spacing w:line="280" w:lineRule="exact"/>
              <w:jc w:val="center"/>
              <w:rPr>
                <w:rFonts w:hint="eastAsia" w:ascii="黑体" w:hAnsi="黑体" w:eastAsia="黑体" w:cs="黑体"/>
                <w:sz w:val="24"/>
              </w:rPr>
            </w:pPr>
            <w:r>
              <w:rPr>
                <w:rFonts w:hint="eastAsia" w:ascii="黑体" w:hAnsi="黑体" w:eastAsia="黑体" w:cs="黑体"/>
                <w:sz w:val="24"/>
              </w:rPr>
              <w:t>指标</w:t>
            </w:r>
          </w:p>
        </w:tc>
        <w:tc>
          <w:tcPr>
            <w:tcW w:w="7077" w:type="dxa"/>
            <w:gridSpan w:val="2"/>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评价标准</w:t>
            </w:r>
          </w:p>
        </w:tc>
        <w:tc>
          <w:tcPr>
            <w:tcW w:w="1830" w:type="dxa"/>
            <w:noWrap w:val="0"/>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51" w:type="dxa"/>
            <w:vMerge w:val="restart"/>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完成市委、市政府重大投融资项目等进度质量评价</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（30分）</w:t>
            </w:r>
          </w:p>
        </w:tc>
        <w:tc>
          <w:tcPr>
            <w:tcW w:w="182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项目主管单位考核评价</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（15分）</w:t>
            </w: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主管单位根据市里的有关要求，从安全生产、工程质量、完成项目进度等方面着手制定评议方案，对各自负责重大项目进行考核。</w:t>
            </w:r>
          </w:p>
        </w:tc>
        <w:tc>
          <w:tcPr>
            <w:tcW w:w="1830"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所在集团评价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51" w:type="dxa"/>
            <w:vMerge w:val="continue"/>
            <w:noWrap w:val="0"/>
            <w:vAlign w:val="center"/>
          </w:tcPr>
          <w:p>
            <w:pPr>
              <w:spacing w:line="260" w:lineRule="exact"/>
              <w:jc w:val="center"/>
              <w:rPr>
                <w:rFonts w:hint="eastAsia" w:ascii="仿宋_GB2312" w:hAnsi="仿宋_GB2312" w:eastAsia="仿宋_GB2312" w:cs="仿宋_GB2312"/>
                <w:sz w:val="24"/>
              </w:rPr>
            </w:pPr>
          </w:p>
        </w:tc>
        <w:tc>
          <w:tcPr>
            <w:tcW w:w="182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行业主管部门评价（10分）</w:t>
            </w:r>
          </w:p>
        </w:tc>
        <w:tc>
          <w:tcPr>
            <w:tcW w:w="5253" w:type="dxa"/>
            <w:noWrap w:val="0"/>
            <w:vAlign w:val="center"/>
          </w:tcPr>
          <w:p>
            <w:pPr>
              <w:spacing w:line="260" w:lineRule="exact"/>
              <w:jc w:val="left"/>
              <w:rPr>
                <w:rFonts w:hint="eastAsia" w:ascii="仿宋_GB2312" w:hAnsi="仿宋_GB2312" w:eastAsia="仿宋_GB2312" w:cs="仿宋_GB2312"/>
                <w:sz w:val="24"/>
                <w:u w:val="single"/>
              </w:rPr>
            </w:pPr>
            <w:r>
              <w:rPr>
                <w:rFonts w:hint="eastAsia" w:ascii="仿宋_GB2312" w:hAnsi="仿宋_GB2312" w:eastAsia="仿宋_GB2312" w:cs="仿宋_GB2312"/>
                <w:sz w:val="24"/>
              </w:rPr>
              <w:t>市国资委征求各项目行业主管部门意见，汇总后酌情赋分。</w:t>
            </w:r>
          </w:p>
        </w:tc>
        <w:tc>
          <w:tcPr>
            <w:tcW w:w="1830"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向市发改、交通、住建及有关部门征求意见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51" w:type="dxa"/>
            <w:vMerge w:val="continue"/>
            <w:noWrap w:val="0"/>
            <w:vAlign w:val="center"/>
          </w:tcPr>
          <w:p>
            <w:pPr>
              <w:spacing w:line="260" w:lineRule="exact"/>
              <w:jc w:val="center"/>
              <w:rPr>
                <w:rFonts w:hint="eastAsia" w:ascii="仿宋_GB2312" w:hAnsi="仿宋_GB2312" w:eastAsia="仿宋_GB2312" w:cs="仿宋_GB2312"/>
                <w:sz w:val="24"/>
              </w:rPr>
            </w:pPr>
          </w:p>
        </w:tc>
        <w:tc>
          <w:tcPr>
            <w:tcW w:w="182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综合评价</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（5分）</w:t>
            </w: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被市有关部门或市委、市政府通报批评，视情节轻重一次扣0.1-0.5分。</w:t>
            </w:r>
          </w:p>
        </w:tc>
        <w:tc>
          <w:tcPr>
            <w:tcW w:w="1830"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市委市政府机关及有关部门通报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51" w:type="dxa"/>
            <w:vMerge w:val="restart"/>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履职成效评价</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1824" w:type="dxa"/>
            <w:vMerge w:val="restart"/>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组织领导评价（5分）</w:t>
            </w: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未研究制定本单位参与万人评议的工作方案，并进行动员部署的，扣1分。未落实领导与专人负责万人评议活动日常有关工作的，扣1分。</w:t>
            </w:r>
          </w:p>
        </w:tc>
        <w:tc>
          <w:tcPr>
            <w:tcW w:w="1830" w:type="dxa"/>
            <w:vMerge w:val="restart"/>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听取汇报、查看台账、随机抽查。单项扣分不限分值，扣完5分为止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continue"/>
            <w:noWrap w:val="0"/>
            <w:vAlign w:val="center"/>
          </w:tcPr>
          <w:p>
            <w:pPr>
              <w:spacing w:line="240" w:lineRule="exact"/>
              <w:jc w:val="center"/>
              <w:rPr>
                <w:rFonts w:hint="eastAsia" w:ascii="仿宋_GB2312" w:hAnsi="仿宋_GB2312" w:eastAsia="仿宋_GB2312" w:cs="仿宋_GB2312"/>
                <w:sz w:val="24"/>
              </w:rPr>
            </w:pP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未按照要求，及时如实上报审批服务事项的，每例扣0.1分。</w:t>
            </w:r>
          </w:p>
        </w:tc>
        <w:tc>
          <w:tcPr>
            <w:tcW w:w="1830" w:type="dxa"/>
            <w:vMerge w:val="continue"/>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continue"/>
            <w:noWrap w:val="0"/>
            <w:vAlign w:val="center"/>
          </w:tcPr>
          <w:p>
            <w:pPr>
              <w:spacing w:line="240" w:lineRule="exact"/>
              <w:jc w:val="center"/>
              <w:rPr>
                <w:rFonts w:hint="eastAsia" w:ascii="仿宋_GB2312" w:hAnsi="仿宋_GB2312" w:eastAsia="仿宋_GB2312" w:cs="仿宋_GB2312"/>
                <w:sz w:val="24"/>
              </w:rPr>
            </w:pP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年度开展内部监督检查3次以下的，每少一次扣0.3分；对市评议办、市国资委交办投诉件办理不认真、反馈不及时的，每例扣0.3分。</w:t>
            </w:r>
          </w:p>
        </w:tc>
        <w:tc>
          <w:tcPr>
            <w:tcW w:w="1830" w:type="dxa"/>
            <w:vMerge w:val="continue"/>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continue"/>
            <w:noWrap w:val="0"/>
            <w:vAlign w:val="center"/>
          </w:tcPr>
          <w:p>
            <w:pPr>
              <w:spacing w:line="240" w:lineRule="exact"/>
              <w:jc w:val="center"/>
              <w:rPr>
                <w:rFonts w:hint="eastAsia" w:ascii="仿宋_GB2312" w:hAnsi="仿宋_GB2312" w:eastAsia="仿宋_GB2312" w:cs="仿宋_GB2312"/>
                <w:sz w:val="24"/>
              </w:rPr>
            </w:pP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运行机制上存在严重纰漏的和日常管理制度建设上存在其他问题的，酌情扣分。</w:t>
            </w:r>
          </w:p>
        </w:tc>
        <w:tc>
          <w:tcPr>
            <w:tcW w:w="1830" w:type="dxa"/>
            <w:vMerge w:val="continue"/>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restart"/>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作风效能建设评价</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（4分）</w:t>
            </w: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发</w:t>
            </w:r>
            <w:r>
              <w:rPr>
                <w:rFonts w:hint="eastAsia" w:ascii="仿宋_GB2312" w:hAnsi="仿宋_GB2312" w:eastAsia="仿宋_GB2312" w:cs="仿宋_GB2312"/>
                <w:spacing w:val="-20"/>
                <w:sz w:val="24"/>
              </w:rPr>
              <w:t>现脱岗、缺勤、迟到、早退等情况，或上班时间炒股、打牌、玩游戏、观看影视剧或娱乐视频（包括电脑、手机及其他电子设备）的，每例扣0.2分</w:t>
            </w:r>
            <w:r>
              <w:rPr>
                <w:rFonts w:hint="eastAsia" w:ascii="仿宋_GB2312" w:hAnsi="仿宋_GB2312" w:eastAsia="仿宋_GB2312" w:cs="仿宋_GB2312"/>
                <w:sz w:val="24"/>
              </w:rPr>
              <w:t>。</w:t>
            </w:r>
          </w:p>
        </w:tc>
        <w:tc>
          <w:tcPr>
            <w:tcW w:w="1830" w:type="dxa"/>
            <w:vMerge w:val="restart"/>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明察暗访、随机抽查等方式进行检查，单项扣分不限分值，扣完4分为止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continue"/>
            <w:noWrap w:val="0"/>
            <w:vAlign w:val="center"/>
          </w:tcPr>
          <w:p>
            <w:pPr>
              <w:spacing w:line="240" w:lineRule="exact"/>
              <w:jc w:val="center"/>
              <w:rPr>
                <w:rFonts w:hint="eastAsia" w:ascii="仿宋_GB2312" w:hAnsi="仿宋_GB2312" w:eastAsia="仿宋_GB2312" w:cs="仿宋_GB2312"/>
                <w:sz w:val="24"/>
              </w:rPr>
            </w:pP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首问责任制、一次告知制、限时办结制和责任追究制等制度落实不到位的，每项扣1分。</w:t>
            </w:r>
          </w:p>
        </w:tc>
        <w:tc>
          <w:tcPr>
            <w:tcW w:w="1830" w:type="dxa"/>
            <w:vMerge w:val="continue"/>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continue"/>
            <w:noWrap w:val="0"/>
            <w:vAlign w:val="center"/>
          </w:tcPr>
          <w:p>
            <w:pPr>
              <w:spacing w:line="240" w:lineRule="exact"/>
              <w:jc w:val="center"/>
              <w:rPr>
                <w:rFonts w:hint="eastAsia" w:ascii="仿宋_GB2312" w:hAnsi="仿宋_GB2312" w:eastAsia="仿宋_GB2312" w:cs="仿宋_GB2312"/>
                <w:sz w:val="24"/>
              </w:rPr>
            </w:pP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存在办事拖拉、违反服务承诺、超时办结等问题的，每例扣1分。</w:t>
            </w:r>
          </w:p>
        </w:tc>
        <w:tc>
          <w:tcPr>
            <w:tcW w:w="1830" w:type="dxa"/>
            <w:vMerge w:val="continue"/>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continue"/>
            <w:noWrap w:val="0"/>
            <w:vAlign w:val="center"/>
          </w:tcPr>
          <w:p>
            <w:pPr>
              <w:spacing w:line="240" w:lineRule="exact"/>
              <w:jc w:val="center"/>
              <w:rPr>
                <w:rFonts w:hint="eastAsia" w:ascii="仿宋_GB2312" w:hAnsi="仿宋_GB2312" w:eastAsia="仿宋_GB2312" w:cs="仿宋_GB2312"/>
                <w:sz w:val="24"/>
              </w:rPr>
            </w:pP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存在态度生硬、门难进、脸难看、话难听、事难办等问题的，每例扣1分。</w:t>
            </w:r>
          </w:p>
        </w:tc>
        <w:tc>
          <w:tcPr>
            <w:tcW w:w="1830" w:type="dxa"/>
            <w:vMerge w:val="continue"/>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vMerge w:val="continue"/>
            <w:noWrap w:val="0"/>
            <w:vAlign w:val="center"/>
          </w:tcPr>
          <w:p>
            <w:pPr>
              <w:spacing w:line="240" w:lineRule="exact"/>
              <w:jc w:val="center"/>
              <w:rPr>
                <w:rFonts w:hint="eastAsia" w:ascii="仿宋_GB2312" w:hAnsi="仿宋_GB2312" w:eastAsia="仿宋_GB2312" w:cs="仿宋_GB2312"/>
                <w:sz w:val="24"/>
              </w:rPr>
            </w:pP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存在其他服务效能等方面问题的，每例扣1分。</w:t>
            </w:r>
          </w:p>
        </w:tc>
        <w:tc>
          <w:tcPr>
            <w:tcW w:w="1830" w:type="dxa"/>
            <w:vMerge w:val="continue"/>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51" w:type="dxa"/>
            <w:vMerge w:val="continue"/>
            <w:noWrap w:val="0"/>
            <w:vAlign w:val="center"/>
          </w:tcPr>
          <w:p>
            <w:pPr>
              <w:spacing w:line="240" w:lineRule="exact"/>
              <w:jc w:val="center"/>
              <w:rPr>
                <w:rFonts w:hint="eastAsia" w:ascii="仿宋_GB2312" w:hAnsi="仿宋_GB2312" w:eastAsia="仿宋_GB2312" w:cs="仿宋_GB2312"/>
                <w:sz w:val="24"/>
              </w:rPr>
            </w:pPr>
          </w:p>
        </w:tc>
        <w:tc>
          <w:tcPr>
            <w:tcW w:w="1824" w:type="dxa"/>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企业特色服务项目评价（1分）</w:t>
            </w:r>
          </w:p>
        </w:tc>
        <w:tc>
          <w:tcPr>
            <w:tcW w:w="5253" w:type="dxa"/>
            <w:noWrap w:val="0"/>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围绕评议内容推出特色、亮点服务项目，具体根据企业开展的特色服务项目进行评价。</w:t>
            </w:r>
          </w:p>
        </w:tc>
        <w:tc>
          <w:tcPr>
            <w:tcW w:w="1830" w:type="dxa"/>
            <w:noWrap w:val="0"/>
            <w:vAlign w:val="center"/>
          </w:tcPr>
          <w:p>
            <w:pPr>
              <w:spacing w:line="260" w:lineRule="exact"/>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查看项目开展情况、日常检查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2975" w:type="dxa"/>
            <w:gridSpan w:val="2"/>
            <w:noWrap w:val="0"/>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主管单位评价（5分）</w:t>
            </w:r>
          </w:p>
        </w:tc>
        <w:tc>
          <w:tcPr>
            <w:tcW w:w="5253" w:type="dxa"/>
            <w:noWrap w:val="0"/>
            <w:vAlign w:val="center"/>
          </w:tcPr>
          <w:p>
            <w:pPr>
              <w:spacing w:line="2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由市国资委根据参加市级评议的集团中层部室和所属企业全年工作开展情况，结合日常监督检查结果，进行综合评价，并按照优劣顺序进行赋分。</w:t>
            </w:r>
          </w:p>
        </w:tc>
        <w:tc>
          <w:tcPr>
            <w:tcW w:w="1830" w:type="dxa"/>
            <w:noWrap w:val="0"/>
            <w:vAlign w:val="center"/>
          </w:tcPr>
          <w:p>
            <w:pPr>
              <w:spacing w:line="260" w:lineRule="exact"/>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5"/>
                <w:w w:val="90"/>
                <w:sz w:val="24"/>
              </w:rPr>
              <w:t>评估总体工作成效、日常监督检查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058" w:type="dxa"/>
            <w:gridSpan w:val="4"/>
            <w:noWrap w:val="0"/>
            <w:vAlign w:val="center"/>
          </w:tcPr>
          <w:p>
            <w:pPr>
              <w:spacing w:line="280" w:lineRule="exact"/>
              <w:rPr>
                <w:rFonts w:hint="eastAsia" w:ascii="仿宋_GB2312" w:hAnsi="仿宋_GB2312" w:eastAsia="仿宋_GB2312" w:cs="仿宋_GB2312"/>
                <w:spacing w:val="-11"/>
                <w:sz w:val="24"/>
              </w:rPr>
            </w:pPr>
            <w:r>
              <w:rPr>
                <w:rFonts w:hint="eastAsia" w:ascii="仿宋_GB2312" w:hAnsi="仿宋_GB2312" w:eastAsia="仿宋_GB2312" w:cs="仿宋_GB2312"/>
                <w:sz w:val="24"/>
              </w:rPr>
              <w:t>备注：1、</w:t>
            </w:r>
            <w:r>
              <w:rPr>
                <w:rFonts w:hint="eastAsia" w:ascii="仿宋_GB2312" w:hAnsi="仿宋_GB2312" w:eastAsia="仿宋_GB2312" w:cs="仿宋_GB2312"/>
                <w:spacing w:val="-11"/>
                <w:sz w:val="24"/>
              </w:rPr>
              <w:t>有日常服务数据推送类参评对象仅考核履职成效评价（10分）和主管单位评价（5分）。</w:t>
            </w:r>
          </w:p>
          <w:p>
            <w:pPr>
              <w:spacing w:line="280" w:lineRule="exact"/>
              <w:jc w:val="left"/>
              <w:rPr>
                <w:rFonts w:hint="eastAsia" w:ascii="仿宋_GB2312" w:hAnsi="仿宋_GB2312" w:eastAsia="仿宋_GB2312" w:cs="仿宋_GB2312"/>
                <w:spacing w:val="-10"/>
                <w:sz w:val="24"/>
              </w:rPr>
            </w:pPr>
            <w:r>
              <w:rPr>
                <w:rFonts w:hint="eastAsia" w:ascii="仿宋_GB2312" w:hAnsi="仿宋_GB2312" w:eastAsia="仿宋_GB2312" w:cs="仿宋_GB2312"/>
                <w:sz w:val="24"/>
              </w:rPr>
              <w:t xml:space="preserve">      2、参评企业发生违法违纪问题，或者有关服务投诉被查实，根据相关情节进行扣分。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F473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2021-04-07T10:14:07Z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