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2019年5月</w:t>
      </w:r>
      <w:r>
        <w:rPr>
          <w:rFonts w:hint="eastAsia" w:ascii="黑体" w:hAnsi="宋体" w:eastAsia="黑体"/>
          <w:sz w:val="44"/>
          <w:szCs w:val="44"/>
          <w:lang w:eastAsia="zh-CN"/>
        </w:rPr>
        <w:t>温州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统计期间：2019年</w:t>
      </w:r>
      <w:r>
        <w:rPr>
          <w:rFonts w:hint="eastAsia" w:eastAsia="仿宋_GB2312"/>
          <w:kern w:val="0"/>
          <w:sz w:val="24"/>
        </w:rPr>
        <w:t>6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6"/>
        <w:tblW w:w="14590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916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62.08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24815407 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15406571 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9408836 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1315758 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52.30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39651 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-7087 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65.06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18779942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12217441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6562501 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389490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62.89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3922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1158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238.69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49.09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2139045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1049971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1089074 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-3.44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219776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15702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-11220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54.90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3896420 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2139159 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-4.49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1757261 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706492 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63.91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20027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2975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573.18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5535D"/>
    <w:rsid w:val="00563E4A"/>
    <w:rsid w:val="005A07B9"/>
    <w:rsid w:val="005C3119"/>
    <w:rsid w:val="005D3CD8"/>
    <w:rsid w:val="005F1DDA"/>
    <w:rsid w:val="00604C9E"/>
    <w:rsid w:val="00627E58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71C7B"/>
    <w:rsid w:val="5C6963F4"/>
    <w:rsid w:val="7EB42D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ScaleCrop>false</ScaleCrop>
  <LinksUpToDate>false</LinksUpToDate>
  <CharactersWithSpaces>619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Administrator</cp:lastModifiedBy>
  <dcterms:modified xsi:type="dcterms:W3CDTF">2019-07-25T07:42:42Z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