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8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4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市属国有企业招商引资入库项目情况表</w:t>
      </w:r>
    </w:p>
    <w:bookmarkEnd w:id="0"/>
    <w:p>
      <w:pPr>
        <w:spacing w:line="300" w:lineRule="exact"/>
        <w:rPr>
          <w:rFonts w:ascii="仿宋" w:hAnsi="仿宋" w:eastAsia="仿宋" w:cs="仿宋"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报送单位（盖章）：                                                               填报时间：     月 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20"/>
        <w:gridCol w:w="4599"/>
        <w:gridCol w:w="1499"/>
        <w:gridCol w:w="2130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45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基本情况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投资额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（万元）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联系人及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6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...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sz w:val="24"/>
        </w:rPr>
        <w:t>注：本表应于每季度第1周定期申报，如内容过多可附页另填。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35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2021-01-28T03:16:27Z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