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40" w:lineRule="exact"/>
        <w:jc w:val="left"/>
        <w:textAlignment w:val="auto"/>
        <w:rPr>
          <w:rFonts w:hint="eastAsia" w:ascii="黑体" w:hAnsi="黑体" w:eastAsia="黑体" w:cs="黑体"/>
          <w:b w:val="0"/>
          <w:bCs w:val="0"/>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40" w:lineRule="exact"/>
        <w:ind w:firstLine="0" w:firstLineChars="0"/>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温州市国资委 市民政局 市卫健委</w:t>
      </w:r>
    </w:p>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关于支持利用市属国有企业自有物业开展养老托育服务的通知</w:t>
      </w:r>
    </w:p>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（征求意见稿）</w:t>
      </w:r>
    </w:p>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default" w:asciiTheme="minorHAnsi" w:hAnsiTheme="minorHAnsi" w:eastAsiaTheme="minorEastAsia" w:cstheme="minorBidi"/>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40" w:lineRule="exact"/>
        <w:ind w:firstLine="0" w:firstLine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市属国有企业，各县（市、区、功能区）</w:t>
      </w:r>
      <w:r>
        <w:rPr>
          <w:rFonts w:hint="eastAsia" w:ascii="仿宋_GB2312" w:hAnsi="仿宋_GB2312" w:eastAsia="仿宋_GB2312" w:cs="仿宋_GB2312"/>
          <w:b w:val="0"/>
          <w:bCs w:val="0"/>
          <w:sz w:val="32"/>
          <w:szCs w:val="32"/>
          <w:lang w:val="en-US" w:eastAsia="zh-CN"/>
        </w:rPr>
        <w:t>国资监管机构、民政局、卫健局</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为促进养老托育服务健康发展，根据《中共中央 国务院关于加强新时代老龄工作的意见》（全国老龄委发〔2022〕1号）《中共中央 国务院关于优化生育政策促进人口长期均衡发展的决定》（中发〔2021〕30号）《国务院办公厅关于促进养老托育服务健康发展的意见》（国办发〔2020〕52号）及省市关于</w:t>
      </w:r>
      <w:r>
        <w:rPr>
          <w:rFonts w:hint="eastAsia" w:ascii="仿宋_GB2312" w:hAnsi="仿宋_GB2312" w:eastAsia="仿宋_GB2312" w:cs="仿宋_GB2312"/>
          <w:b w:val="0"/>
          <w:bCs w:val="0"/>
          <w:sz w:val="32"/>
          <w:szCs w:val="32"/>
          <w:lang w:val="en-US" w:eastAsia="zh-CN"/>
        </w:rPr>
        <w:t>养老托育相关政策</w:t>
      </w:r>
      <w:r>
        <w:rPr>
          <w:rFonts w:hint="eastAsia" w:ascii="仿宋_GB2312" w:hAnsi="仿宋_GB2312" w:eastAsia="仿宋_GB2312" w:cs="仿宋_GB2312"/>
          <w:sz w:val="32"/>
          <w:szCs w:val="32"/>
          <w:u w:val="none"/>
          <w:lang w:val="en-US" w:eastAsia="zh-CN"/>
        </w:rPr>
        <w:t>，结合《关于加强市属国有企业房产土地租赁管理的若干指导意见》（温国资委〔2021〕51号），拟</w:t>
      </w:r>
      <w:bookmarkStart w:id="0" w:name="_GoBack"/>
      <w:bookmarkEnd w:id="0"/>
      <w:r>
        <w:rPr>
          <w:rFonts w:hint="eastAsia" w:ascii="仿宋_GB2312" w:hAnsi="仿宋_GB2312" w:eastAsia="仿宋_GB2312" w:cs="仿宋_GB2312"/>
          <w:sz w:val="32"/>
          <w:szCs w:val="32"/>
          <w:u w:val="none"/>
          <w:lang w:val="en-US" w:eastAsia="zh-CN"/>
        </w:rPr>
        <w:t>经市人民政府同意，</w:t>
      </w:r>
      <w:r>
        <w:rPr>
          <w:rFonts w:hint="eastAsia" w:ascii="仿宋_GB2312" w:hAnsi="仿宋_GB2312" w:eastAsia="仿宋_GB2312" w:cs="仿宋_GB2312"/>
          <w:sz w:val="32"/>
          <w:szCs w:val="32"/>
          <w:u w:val="none"/>
          <w:lang w:val="en-US" w:eastAsia="zh-CN"/>
        </w:rPr>
        <w:t>现就支持利用</w:t>
      </w:r>
      <w:r>
        <w:rPr>
          <w:rFonts w:hint="default" w:ascii="仿宋_GB2312" w:hAnsi="仿宋_GB2312" w:eastAsia="仿宋_GB2312" w:cs="仿宋_GB2312"/>
          <w:sz w:val="32"/>
          <w:szCs w:val="32"/>
          <w:u w:val="none"/>
          <w:lang w:eastAsia="zh-CN"/>
        </w:rPr>
        <w:t>市属</w:t>
      </w:r>
      <w:r>
        <w:rPr>
          <w:rFonts w:hint="eastAsia" w:ascii="仿宋_GB2312" w:hAnsi="仿宋_GB2312" w:eastAsia="仿宋_GB2312" w:cs="仿宋_GB2312"/>
          <w:sz w:val="32"/>
          <w:szCs w:val="32"/>
          <w:u w:val="none"/>
          <w:lang w:val="en-US" w:eastAsia="zh-CN"/>
        </w:rPr>
        <w:t>国有企业自有物业开展养老托育（一老一小）服务</w:t>
      </w:r>
      <w:r>
        <w:rPr>
          <w:rFonts w:hint="eastAsia" w:ascii="仿宋_GB2312" w:hAnsi="仿宋_GB2312" w:eastAsia="仿宋_GB2312" w:cs="仿宋_GB2312"/>
          <w:i w:val="0"/>
          <w:caps w:val="0"/>
          <w:color w:val="171A1D"/>
          <w:spacing w:val="0"/>
          <w:sz w:val="32"/>
          <w:szCs w:val="32"/>
          <w:u w:val="none"/>
          <w:shd w:val="clear" w:fill="auto"/>
          <w:lang w:eastAsia="zh-CN"/>
        </w:rPr>
        <w:t>有关事项通知如下：</w:t>
      </w:r>
    </w:p>
    <w:p>
      <w:pPr>
        <w:keepNext w:val="0"/>
        <w:keepLines w:val="0"/>
        <w:pageBreakBefore w:val="0"/>
        <w:widowControl w:val="0"/>
        <w:numPr>
          <w:ilvl w:val="-1"/>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i w:val="0"/>
          <w:caps w:val="0"/>
          <w:color w:val="171A1D"/>
          <w:spacing w:val="0"/>
          <w:sz w:val="32"/>
          <w:szCs w:val="32"/>
          <w:u w:val="none"/>
          <w:shd w:val="clear" w:fill="auto"/>
          <w:lang w:val="en-US" w:eastAsia="zh-CN"/>
        </w:rPr>
      </w:pPr>
      <w:r>
        <w:rPr>
          <w:rFonts w:hint="eastAsia" w:ascii="黑体" w:hAnsi="黑体" w:eastAsia="黑体" w:cs="黑体"/>
          <w:sz w:val="32"/>
          <w:szCs w:val="32"/>
          <w:lang w:val="en-US" w:eastAsia="zh-CN"/>
        </w:rPr>
        <w:t>一、总体要求。</w:t>
      </w:r>
      <w:r>
        <w:rPr>
          <w:rFonts w:hint="eastAsia" w:ascii="仿宋_GB2312" w:hAnsi="仿宋_GB2312" w:eastAsia="仿宋_GB2312" w:cs="仿宋_GB2312"/>
          <w:i w:val="0"/>
          <w:caps w:val="0"/>
          <w:color w:val="171A1D"/>
          <w:spacing w:val="0"/>
          <w:sz w:val="32"/>
          <w:szCs w:val="32"/>
          <w:u w:val="none"/>
          <w:shd w:val="clear" w:fill="auto"/>
          <w:lang w:val="en-US" w:eastAsia="zh-CN"/>
        </w:rPr>
        <w:t>支持有条件的市属国有企业通过多种方式参与</w:t>
      </w:r>
      <w:r>
        <w:rPr>
          <w:rFonts w:hint="eastAsia" w:ascii="仿宋_GB2312" w:hAnsi="仿宋_GB2312" w:eastAsia="仿宋_GB2312" w:cs="仿宋_GB2312"/>
          <w:spacing w:val="0"/>
          <w:sz w:val="32"/>
          <w:szCs w:val="32"/>
          <w:u w:val="none"/>
          <w:lang w:eastAsia="zh-CN"/>
        </w:rPr>
        <w:t>养老托育</w:t>
      </w:r>
      <w:r>
        <w:rPr>
          <w:rFonts w:hint="eastAsia" w:ascii="仿宋_GB2312" w:hAnsi="仿宋_GB2312" w:eastAsia="仿宋_GB2312" w:cs="仿宋_GB2312"/>
          <w:i w:val="0"/>
          <w:caps w:val="0"/>
          <w:color w:val="171A1D"/>
          <w:spacing w:val="0"/>
          <w:sz w:val="32"/>
          <w:szCs w:val="32"/>
          <w:u w:val="none"/>
          <w:shd w:val="clear" w:fill="auto"/>
          <w:lang w:val="en-US" w:eastAsia="zh-CN"/>
        </w:rPr>
        <w:t>服务业发展，投资</w:t>
      </w:r>
      <w:r>
        <w:rPr>
          <w:rFonts w:hint="eastAsia" w:ascii="仿宋_GB2312" w:hAnsi="仿宋_GB2312" w:eastAsia="仿宋_GB2312" w:cs="仿宋_GB2312"/>
          <w:spacing w:val="0"/>
          <w:sz w:val="32"/>
          <w:szCs w:val="32"/>
          <w:u w:val="none"/>
          <w:lang w:eastAsia="zh-CN"/>
        </w:rPr>
        <w:t>养老托育</w:t>
      </w:r>
      <w:r>
        <w:rPr>
          <w:rFonts w:hint="eastAsia" w:ascii="仿宋_GB2312" w:hAnsi="仿宋_GB2312" w:eastAsia="仿宋_GB2312" w:cs="仿宋_GB2312"/>
          <w:i w:val="0"/>
          <w:caps w:val="0"/>
          <w:color w:val="171A1D"/>
          <w:spacing w:val="0"/>
          <w:sz w:val="32"/>
          <w:szCs w:val="32"/>
          <w:u w:val="none"/>
          <w:shd w:val="clear" w:fill="auto"/>
          <w:lang w:val="en-US" w:eastAsia="zh-CN"/>
        </w:rPr>
        <w:t>项目。鼓励市属国有企业空置闲置的自有物业采取独资、合资、合作、出租等方式优先用于</w:t>
      </w:r>
      <w:r>
        <w:rPr>
          <w:rFonts w:hint="eastAsia" w:ascii="仿宋_GB2312" w:hAnsi="仿宋_GB2312" w:eastAsia="仿宋_GB2312" w:cs="仿宋_GB2312"/>
          <w:spacing w:val="0"/>
          <w:sz w:val="32"/>
          <w:szCs w:val="32"/>
          <w:u w:val="none"/>
          <w:lang w:eastAsia="zh-CN"/>
        </w:rPr>
        <w:t>养老托育</w:t>
      </w:r>
      <w:r>
        <w:rPr>
          <w:rFonts w:hint="eastAsia" w:ascii="仿宋_GB2312" w:hAnsi="仿宋_GB2312" w:eastAsia="仿宋_GB2312" w:cs="仿宋_GB2312"/>
          <w:i w:val="0"/>
          <w:caps w:val="0"/>
          <w:color w:val="171A1D"/>
          <w:spacing w:val="0"/>
          <w:sz w:val="32"/>
          <w:szCs w:val="32"/>
          <w:u w:val="none"/>
          <w:shd w:val="clear" w:fill="auto"/>
          <w:lang w:val="en-US" w:eastAsia="zh-CN"/>
        </w:rPr>
        <w:t>服务业，其他自有物业可根据企业自身发展需要发展</w:t>
      </w:r>
      <w:r>
        <w:rPr>
          <w:rFonts w:hint="eastAsia" w:ascii="仿宋_GB2312" w:hAnsi="仿宋_GB2312" w:eastAsia="仿宋_GB2312" w:cs="仿宋_GB2312"/>
          <w:spacing w:val="0"/>
          <w:sz w:val="32"/>
          <w:szCs w:val="32"/>
          <w:u w:val="none"/>
          <w:lang w:eastAsia="zh-CN"/>
        </w:rPr>
        <w:t>养老托育</w:t>
      </w:r>
      <w:r>
        <w:rPr>
          <w:rFonts w:hint="eastAsia" w:ascii="仿宋_GB2312" w:hAnsi="仿宋_GB2312" w:eastAsia="仿宋_GB2312" w:cs="仿宋_GB2312"/>
          <w:i w:val="0"/>
          <w:caps w:val="0"/>
          <w:color w:val="171A1D"/>
          <w:spacing w:val="0"/>
          <w:sz w:val="32"/>
          <w:szCs w:val="32"/>
          <w:u w:val="none"/>
          <w:shd w:val="clear" w:fill="auto"/>
          <w:lang w:val="en-US" w:eastAsia="zh-CN"/>
        </w:rPr>
        <w:t>服务业。</w:t>
      </w:r>
    </w:p>
    <w:p>
      <w:pPr>
        <w:keepNext w:val="0"/>
        <w:keepLines w:val="0"/>
        <w:pageBreakBefore w:val="0"/>
        <w:widowControl w:val="0"/>
        <w:numPr>
          <w:ilvl w:val="-1"/>
          <w:numId w:val="0"/>
        </w:numPr>
        <w:kinsoku/>
        <w:wordWrap/>
        <w:overflowPunct/>
        <w:topLinePunct w:val="0"/>
        <w:autoSpaceDE/>
        <w:autoSpaceDN/>
        <w:bidi w:val="0"/>
        <w:adjustRightInd/>
        <w:snapToGrid/>
        <w:spacing w:line="580" w:lineRule="exact"/>
        <w:ind w:left="0" w:leftChars="0" w:firstLine="640" w:firstLineChars="200"/>
        <w:textAlignment w:val="auto"/>
        <w:rPr>
          <w:rFonts w:hint="eastAsia" w:ascii="仿宋_GB2312" w:hAnsi="仿宋_GB2312" w:eastAsia="仿宋_GB2312" w:cs="仿宋_GB2312"/>
          <w:i w:val="0"/>
          <w:caps w:val="0"/>
          <w:color w:val="171A1D"/>
          <w:spacing w:val="0"/>
          <w:sz w:val="32"/>
          <w:szCs w:val="32"/>
          <w:u w:val="none"/>
          <w:shd w:val="clear" w:fill="auto"/>
          <w:lang w:val="en-US" w:eastAsia="zh-CN"/>
        </w:rPr>
      </w:pPr>
      <w:r>
        <w:rPr>
          <w:rFonts w:hint="eastAsia" w:ascii="黑体" w:hAnsi="黑体" w:eastAsia="黑体" w:cs="黑体"/>
          <w:sz w:val="32"/>
          <w:szCs w:val="32"/>
          <w:lang w:val="en-US" w:eastAsia="zh-CN"/>
        </w:rPr>
        <w:t>二、招租方式。</w:t>
      </w:r>
      <w:r>
        <w:rPr>
          <w:rFonts w:hint="eastAsia" w:ascii="仿宋_GB2312" w:hAnsi="仿宋_GB2312" w:eastAsia="仿宋_GB2312" w:cs="仿宋_GB2312"/>
          <w:i w:val="0"/>
          <w:caps w:val="0"/>
          <w:color w:val="171A1D"/>
          <w:spacing w:val="0"/>
          <w:sz w:val="32"/>
          <w:szCs w:val="32"/>
          <w:u w:val="none"/>
          <w:shd w:val="clear" w:fill="auto"/>
          <w:lang w:val="en-US" w:eastAsia="zh-CN"/>
        </w:rPr>
        <w:t>承租举办养老服务机构和托育服务机构，承租人为非国有单位的，租赁方式应采取公开市场招租，租赁项目首次正式信息披露的租赁底价不低于评估价。</w:t>
      </w:r>
      <w:r>
        <w:rPr>
          <w:rFonts w:hint="eastAsia" w:ascii="仿宋_GB2312" w:hAnsi="仿宋_GB2312" w:eastAsia="仿宋_GB2312" w:cs="仿宋_GB2312"/>
          <w:i w:val="0"/>
          <w:caps w:val="0"/>
          <w:color w:val="auto"/>
          <w:spacing w:val="0"/>
          <w:sz w:val="32"/>
          <w:szCs w:val="32"/>
          <w:u w:val="none"/>
          <w:shd w:val="clear" w:fill="auto"/>
          <w:lang w:val="en-US" w:eastAsia="zh-CN"/>
        </w:rPr>
        <w:t>承租人为我市国有单位（行政机关、事业单位、国有全资企业、国有控股及国有实际控股企业）的，可以通过不公开招租方式承租市属国有企业自有物业</w:t>
      </w:r>
      <w:r>
        <w:rPr>
          <w:rFonts w:hint="eastAsia" w:ascii="仿宋_GB2312" w:hAnsi="仿宋_GB2312" w:eastAsia="仿宋_GB2312" w:cs="仿宋_GB2312"/>
          <w:i w:val="0"/>
          <w:caps w:val="0"/>
          <w:color w:val="171A1D"/>
          <w:spacing w:val="0"/>
          <w:sz w:val="32"/>
          <w:szCs w:val="32"/>
          <w:u w:val="none"/>
          <w:shd w:val="clear" w:fill="auto"/>
          <w:lang w:val="en-US" w:eastAsia="zh-CN"/>
        </w:rPr>
        <w:t>。</w:t>
      </w:r>
    </w:p>
    <w:p>
      <w:pPr>
        <w:keepNext w:val="0"/>
        <w:keepLines w:val="0"/>
        <w:pageBreakBefore w:val="0"/>
        <w:widowControl w:val="0"/>
        <w:numPr>
          <w:ilvl w:val="-1"/>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i w:val="0"/>
          <w:caps w:val="0"/>
          <w:color w:val="auto"/>
          <w:spacing w:val="0"/>
          <w:sz w:val="32"/>
          <w:szCs w:val="32"/>
          <w:u w:val="none"/>
          <w:shd w:val="clear" w:fill="auto"/>
          <w:lang w:val="en-US" w:eastAsia="zh-CN"/>
        </w:rPr>
      </w:pPr>
      <w:r>
        <w:rPr>
          <w:rFonts w:hint="eastAsia" w:ascii="黑体" w:hAnsi="黑体" w:eastAsia="黑体" w:cs="黑体"/>
          <w:sz w:val="32"/>
          <w:szCs w:val="32"/>
          <w:lang w:val="en-US" w:eastAsia="zh-CN"/>
        </w:rPr>
        <w:t>三、租期规定。</w:t>
      </w:r>
      <w:r>
        <w:rPr>
          <w:rFonts w:hint="eastAsia" w:ascii="仿宋_GB2312" w:hAnsi="仿宋_GB2312" w:eastAsia="仿宋_GB2312" w:cs="仿宋_GB2312"/>
          <w:i w:val="0"/>
          <w:caps w:val="0"/>
          <w:color w:val="auto"/>
          <w:spacing w:val="0"/>
          <w:sz w:val="32"/>
          <w:szCs w:val="32"/>
          <w:u w:val="none"/>
          <w:shd w:val="clear" w:fill="auto"/>
          <w:lang w:val="en-US" w:eastAsia="zh-CN"/>
        </w:rPr>
        <w:t>市属国有企业出租自有物业给养老服务机构、托育服务机构的，租期可放宽到10年以上，由市属国有企业自主决策，报市国资委备案，</w:t>
      </w:r>
      <w:r>
        <w:rPr>
          <w:rFonts w:hint="eastAsia" w:ascii="仿宋_GB2312" w:hAnsi="仿宋_GB2312" w:eastAsia="仿宋_GB2312" w:cs="仿宋_GB2312"/>
          <w:sz w:val="32"/>
          <w:szCs w:val="32"/>
          <w:lang w:val="en-US" w:eastAsia="zh-CN"/>
        </w:rPr>
        <w:t>期限不得超过《民法典》等法律法规的相关规定</w:t>
      </w:r>
      <w:r>
        <w:rPr>
          <w:rFonts w:hint="eastAsia" w:ascii="仿宋_GB2312" w:hAnsi="仿宋_GB2312" w:eastAsia="仿宋_GB2312" w:cs="仿宋_GB2312"/>
          <w:i w:val="0"/>
          <w:caps w:val="0"/>
          <w:color w:val="auto"/>
          <w:spacing w:val="0"/>
          <w:sz w:val="32"/>
          <w:szCs w:val="32"/>
          <w:u w:val="none"/>
          <w:shd w:val="clear" w:fill="auto"/>
          <w:lang w:val="en-US" w:eastAsia="zh-CN"/>
        </w:rPr>
        <w:t>。</w:t>
      </w:r>
    </w:p>
    <w:p>
      <w:pPr>
        <w:keepNext w:val="0"/>
        <w:keepLines w:val="0"/>
        <w:pageBreakBefore w:val="0"/>
        <w:widowControl w:val="0"/>
        <w:numPr>
          <w:ilvl w:val="-1"/>
          <w:numId w:val="0"/>
        </w:numPr>
        <w:kinsoku/>
        <w:wordWrap/>
        <w:overflowPunct/>
        <w:topLinePunct w:val="0"/>
        <w:autoSpaceDE/>
        <w:autoSpaceDN/>
        <w:bidi w:val="0"/>
        <w:adjustRightInd/>
        <w:snapToGrid/>
        <w:spacing w:line="580" w:lineRule="exact"/>
        <w:ind w:firstLine="640" w:firstLineChars="200"/>
        <w:textAlignment w:val="auto"/>
        <w:rPr>
          <w:rFonts w:hint="default" w:asciiTheme="minorHAnsi" w:hAnsiTheme="minorHAnsi" w:eastAsiaTheme="minorEastAsia" w:cstheme="minorBidi"/>
          <w:i w:val="0"/>
          <w:caps w:val="0"/>
          <w:spacing w:val="0"/>
          <w:sz w:val="21"/>
          <w:szCs w:val="24"/>
          <w:u w:val="none"/>
          <w:shd w:val="clear"/>
          <w:lang w:val="en-US" w:eastAsia="zh-CN"/>
        </w:rPr>
      </w:pPr>
      <w:r>
        <w:rPr>
          <w:rFonts w:hint="eastAsia" w:ascii="黑体" w:hAnsi="黑体" w:eastAsia="黑体" w:cs="黑体"/>
          <w:sz w:val="32"/>
          <w:szCs w:val="32"/>
          <w:lang w:val="en-US" w:eastAsia="zh-CN"/>
        </w:rPr>
        <w:t>四、租赁底价评估和价格确定。</w:t>
      </w:r>
      <w:r>
        <w:rPr>
          <w:rFonts w:hint="eastAsia" w:ascii="仿宋_GB2312" w:hAnsi="仿宋_GB2312" w:eastAsia="仿宋_GB2312" w:cs="仿宋_GB2312"/>
          <w:i w:val="0"/>
          <w:caps w:val="0"/>
          <w:color w:val="auto"/>
          <w:spacing w:val="0"/>
          <w:sz w:val="32"/>
          <w:szCs w:val="32"/>
          <w:u w:val="none"/>
          <w:shd w:val="clear" w:fill="auto"/>
          <w:lang w:val="en-US" w:eastAsia="zh-CN"/>
        </w:rPr>
        <w:t>租赁底价以具有评估资质的中介评估机构以养老服务用途或托育服务用途评定并经备案的评估结果作为定价基础，并在租赁协议中约定租金合理的增长调整机</w:t>
      </w:r>
      <w:r>
        <w:rPr>
          <w:rFonts w:hint="default" w:ascii="仿宋_GB2312" w:hAnsi="仿宋_GB2312" w:eastAsia="仿宋_GB2312" w:cs="仿宋_GB2312"/>
          <w:i w:val="0"/>
          <w:caps w:val="0"/>
          <w:color w:val="auto"/>
          <w:spacing w:val="0"/>
          <w:sz w:val="32"/>
          <w:szCs w:val="32"/>
          <w:u w:val="none"/>
          <w:shd w:val="clear" w:fill="auto"/>
          <w:lang w:val="en-US" w:eastAsia="zh-CN"/>
        </w:rPr>
        <w:t>制。其中，经所在地县级民政部门认定的普惠性养老机构和卫健部门认定的普惠性托育机构，可自认定之日</w:t>
      </w:r>
      <w:r>
        <w:rPr>
          <w:rFonts w:hint="eastAsia" w:ascii="仿宋_GB2312" w:hAnsi="仿宋_GB2312" w:eastAsia="仿宋_GB2312" w:cs="仿宋_GB2312"/>
          <w:i w:val="0"/>
          <w:caps w:val="0"/>
          <w:color w:val="auto"/>
          <w:spacing w:val="0"/>
          <w:sz w:val="32"/>
          <w:szCs w:val="32"/>
          <w:u w:val="none"/>
          <w:shd w:val="clear" w:fill="auto"/>
          <w:lang w:val="en-US" w:eastAsia="zh-CN"/>
        </w:rPr>
        <w:t>起</w:t>
      </w:r>
      <w:r>
        <w:rPr>
          <w:rFonts w:hint="default" w:ascii="仿宋_GB2312" w:hAnsi="仿宋_GB2312" w:eastAsia="仿宋_GB2312" w:cs="仿宋_GB2312"/>
          <w:i w:val="0"/>
          <w:caps w:val="0"/>
          <w:color w:val="auto"/>
          <w:spacing w:val="0"/>
          <w:sz w:val="32"/>
          <w:szCs w:val="32"/>
          <w:u w:val="none"/>
          <w:shd w:val="clear" w:fill="auto"/>
          <w:lang w:val="en-US" w:eastAsia="zh-CN"/>
        </w:rPr>
        <w:t>给予一定租金优惠，优惠租赁价格以经备案的评估价的80%确定（非首年</w:t>
      </w:r>
      <w:r>
        <w:rPr>
          <w:rFonts w:hint="eastAsia" w:ascii="仿宋_GB2312" w:hAnsi="仿宋_GB2312" w:eastAsia="仿宋_GB2312" w:cs="仿宋_GB2312"/>
          <w:i w:val="0"/>
          <w:caps w:val="0"/>
          <w:color w:val="auto"/>
          <w:spacing w:val="0"/>
          <w:sz w:val="32"/>
          <w:szCs w:val="32"/>
          <w:u w:val="none"/>
          <w:shd w:val="clear" w:fill="auto"/>
          <w:lang w:val="en-US" w:eastAsia="zh-CN"/>
        </w:rPr>
        <w:t>优惠租赁价格</w:t>
      </w:r>
      <w:r>
        <w:rPr>
          <w:rFonts w:hint="default" w:ascii="仿宋_GB2312" w:hAnsi="仿宋_GB2312" w:eastAsia="仿宋_GB2312" w:cs="仿宋_GB2312"/>
          <w:i w:val="0"/>
          <w:caps w:val="0"/>
          <w:color w:val="auto"/>
          <w:spacing w:val="0"/>
          <w:sz w:val="32"/>
          <w:szCs w:val="32"/>
          <w:u w:val="none"/>
          <w:shd w:val="clear" w:fill="auto"/>
          <w:lang w:val="en-US" w:eastAsia="zh-CN"/>
        </w:rPr>
        <w:t>需根据合同约定的增长率进行调整），所承租物业不得转租。普惠性养老托育机构转为非普惠性机构</w:t>
      </w:r>
      <w:r>
        <w:rPr>
          <w:rFonts w:hint="eastAsia" w:ascii="仿宋_GB2312" w:hAnsi="仿宋_GB2312" w:eastAsia="仿宋_GB2312" w:cs="仿宋_GB2312"/>
          <w:i w:val="0"/>
          <w:caps w:val="0"/>
          <w:color w:val="auto"/>
          <w:spacing w:val="0"/>
          <w:sz w:val="32"/>
          <w:szCs w:val="32"/>
          <w:u w:val="none"/>
          <w:shd w:val="clear" w:fill="auto"/>
          <w:lang w:val="en-US" w:eastAsia="zh-CN"/>
        </w:rPr>
        <w:t>的，取消租赁价格优惠，可继续执行原租赁合同，租金按原租赁合同约定的转为非普惠性养老托育机构当年度水平收取。</w:t>
      </w:r>
    </w:p>
    <w:p>
      <w:pPr>
        <w:keepNext w:val="0"/>
        <w:keepLines w:val="0"/>
        <w:pageBreakBefore w:val="0"/>
        <w:widowControl/>
        <w:numPr>
          <w:ilvl w:val="-1"/>
          <w:numId w:val="0"/>
        </w:numPr>
        <w:kinsoku/>
        <w:wordWrap/>
        <w:overflowPunct/>
        <w:topLinePunct w:val="0"/>
        <w:autoSpaceDE/>
        <w:autoSpaceDN/>
        <w:bidi w:val="0"/>
        <w:adjustRightInd/>
        <w:snapToGrid/>
        <w:spacing w:line="240" w:lineRule="auto"/>
        <w:ind w:firstLine="420" w:firstLineChars="200"/>
        <w:textAlignment w:val="auto"/>
        <w:rPr>
          <w:rFonts w:hint="default" w:asciiTheme="minorHAnsi" w:hAnsiTheme="minorHAnsi" w:eastAsiaTheme="minorEastAsia" w:cstheme="minorBidi"/>
          <w:i w:val="0"/>
          <w:caps w:val="0"/>
          <w:spacing w:val="0"/>
          <w:sz w:val="21"/>
          <w:szCs w:val="24"/>
          <w:u w:val="none"/>
          <w:shd w:val="clear"/>
          <w:lang w:val="en-US" w:eastAsia="zh-CN"/>
        </w:rPr>
      </w:pPr>
    </w:p>
    <w:tbl>
      <w:tblPr>
        <w:tblStyle w:val="6"/>
        <w:tblW w:w="0" w:type="auto"/>
        <w:tblInd w:w="-3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45"/>
        <w:gridCol w:w="3600"/>
        <w:gridCol w:w="30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trPr>
        <w:tc>
          <w:tcPr>
            <w:tcW w:w="2745" w:type="dxa"/>
            <w:vAlign w:val="center"/>
            <mc:AlternateContent>
              <mc:Choice Requires="wpsCustomData">
                <wpsCustomData:diagonals>
                  <wpsCustomData:diagonal from="10000" to="30000">
                    <wpsCustomData:border w:val="single" w:color="auto" w:sz="4" w:space="0"/>
                  </wpsCustomData:diagonal>
                </wpsCustomData:diagonals>
              </mc:Choice>
            </mc:AlternateContent>
          </w:tcPr>
          <w:p>
            <w:pPr>
              <w:keepNext w:val="0"/>
              <w:keepLines w:val="0"/>
              <w:pageBreakBefore w:val="0"/>
              <w:widowControl/>
              <w:numPr>
                <w:ilvl w:val="-1"/>
                <w:numId w:val="0"/>
              </w:numPr>
              <w:kinsoku/>
              <w:wordWrap/>
              <w:overflowPunct/>
              <w:topLinePunct w:val="0"/>
              <w:autoSpaceDE/>
              <w:autoSpaceDN/>
              <w:bidi w:val="0"/>
              <w:adjustRightInd/>
              <w:snapToGrid w:val="0"/>
              <w:spacing w:line="300" w:lineRule="exact"/>
              <w:jc w:val="center"/>
              <w:textAlignment w:val="auto"/>
              <w:rPr>
                <w:rFonts w:hint="eastAsia" w:ascii="黑体" w:hAnsi="黑体" w:eastAsia="黑体" w:cs="黑体"/>
                <w:i w:val="0"/>
                <w:caps w:val="0"/>
                <w:color w:val="171A1D"/>
                <w:spacing w:val="0"/>
                <w:sz w:val="24"/>
                <w:szCs w:val="24"/>
                <w:u w:val="none"/>
                <w:shd w:val="clear" w:fill="auto"/>
                <w:vertAlign w:val="baseline"/>
                <w:lang w:val="en-US" w:eastAsia="zh-CN"/>
              </w:rPr>
            </w:pPr>
          </w:p>
          <w:p>
            <w:pPr>
              <w:keepNext w:val="0"/>
              <w:keepLines w:val="0"/>
              <w:pageBreakBefore w:val="0"/>
              <w:widowControl/>
              <w:numPr>
                <w:ilvl w:val="-1"/>
                <w:numId w:val="0"/>
              </w:numPr>
              <w:kinsoku/>
              <w:wordWrap/>
              <w:overflowPunct/>
              <w:topLinePunct w:val="0"/>
              <w:autoSpaceDE/>
              <w:autoSpaceDN/>
              <w:bidi w:val="0"/>
              <w:adjustRightInd/>
              <w:snapToGrid w:val="0"/>
              <w:spacing w:line="300" w:lineRule="exact"/>
              <w:jc w:val="both"/>
              <w:textAlignment w:val="auto"/>
              <mc:AlternateContent>
                <mc:Choice Requires="wpsCustomData">
                  <wpsCustomData:diagonalParaType/>
                </mc:Choice>
              </mc:AlternateContent>
              <w:rPr>
                <w:rFonts w:hint="eastAsia" w:ascii="黑体" w:hAnsi="黑体" w:eastAsia="黑体" w:cs="黑体"/>
                <w:i w:val="0"/>
                <w:caps w:val="0"/>
                <w:color w:val="171A1D"/>
                <w:spacing w:val="0"/>
                <w:sz w:val="24"/>
                <w:szCs w:val="24"/>
                <w:u w:val="none"/>
                <w:shd w:val="clear" w:fill="auto"/>
                <w:vertAlign w:val="baseline"/>
                <w:lang w:val="en-US" w:eastAsia="zh-CN"/>
              </w:rPr>
            </w:pPr>
            <w:r>
              <w:rPr>
                <w:rFonts w:hint="eastAsia" w:ascii="黑体" w:hAnsi="黑体" w:eastAsia="黑体" w:cs="黑体"/>
                <w:i w:val="0"/>
                <w:caps w:val="0"/>
                <w:color w:val="171A1D"/>
                <w:spacing w:val="0"/>
                <w:sz w:val="24"/>
                <w:szCs w:val="24"/>
                <w:u w:val="none"/>
                <w:shd w:val="clear" w:fill="auto"/>
                <w:vertAlign w:val="baseline"/>
                <w:lang w:val="en-US" w:eastAsia="zh-CN"/>
              </w:rPr>
              <w:t>举办机构性质</w:t>
            </w:r>
          </w:p>
          <w:p>
            <w:pPr>
              <w:keepNext w:val="0"/>
              <w:keepLines w:val="0"/>
              <w:pageBreakBefore w:val="0"/>
              <w:widowControl/>
              <w:numPr>
                <w:ilvl w:val="-1"/>
                <w:numId w:val="0"/>
              </w:numPr>
              <w:kinsoku/>
              <w:wordWrap/>
              <w:overflowPunct/>
              <w:topLinePunct w:val="0"/>
              <w:autoSpaceDE/>
              <w:autoSpaceDN/>
              <w:bidi w:val="0"/>
              <w:adjustRightInd/>
              <w:snapToGrid/>
              <w:spacing w:line="300" w:lineRule="exact"/>
              <w:jc w:val="center"/>
              <w:textAlignment w:val="auto"/>
              <w:rPr>
                <w:rFonts w:hint="eastAsia" w:ascii="黑体" w:hAnsi="黑体" w:eastAsia="黑体" w:cs="黑体"/>
                <w:i w:val="0"/>
                <w:caps w:val="0"/>
                <w:color w:val="171A1D"/>
                <w:spacing w:val="0"/>
                <w:sz w:val="24"/>
                <w:szCs w:val="24"/>
                <w:u w:val="none"/>
                <w:shd w:val="clear" w:fill="auto"/>
                <w:vertAlign w:val="baseline"/>
                <w:lang w:val="en-US" w:eastAsia="zh-CN"/>
              </w:rPr>
            </w:pPr>
            <w:r>
              <w:rPr>
                <w:rFonts w:hint="eastAsia" w:ascii="黑体" w:hAnsi="黑体" w:eastAsia="黑体" w:cs="黑体"/>
                <w:i w:val="0"/>
                <w:caps w:val="0"/>
                <w:color w:val="171A1D"/>
                <w:spacing w:val="0"/>
                <w:sz w:val="24"/>
                <w:szCs w:val="24"/>
                <w:u w:val="none"/>
                <w:shd w:val="clear" w:fill="auto"/>
                <w:vertAlign w:val="baseline"/>
                <w:lang w:val="en-US" w:eastAsia="zh-CN"/>
              </w:rPr>
              <w:t>承租主体性质</w:t>
            </w:r>
          </w:p>
        </w:tc>
        <w:tc>
          <w:tcPr>
            <w:tcW w:w="3600" w:type="dxa"/>
            <w:vAlign w:val="center"/>
          </w:tcPr>
          <w:p>
            <w:pPr>
              <w:keepNext w:val="0"/>
              <w:keepLines w:val="0"/>
              <w:pageBreakBefore w:val="0"/>
              <w:widowControl/>
              <w:numPr>
                <w:ilvl w:val="-1"/>
                <w:numId w:val="0"/>
              </w:numPr>
              <w:kinsoku/>
              <w:wordWrap/>
              <w:overflowPunct/>
              <w:topLinePunct w:val="0"/>
              <w:autoSpaceDE/>
              <w:autoSpaceDN/>
              <w:bidi w:val="0"/>
              <w:adjustRightInd/>
              <w:snapToGrid/>
              <w:spacing w:line="300" w:lineRule="exact"/>
              <w:jc w:val="center"/>
              <w:textAlignment w:val="auto"/>
              <w:rPr>
                <w:rFonts w:hint="eastAsia" w:ascii="黑体" w:hAnsi="黑体" w:eastAsia="黑体" w:cs="黑体"/>
                <w:i w:val="0"/>
                <w:caps w:val="0"/>
                <w:color w:val="171A1D"/>
                <w:spacing w:val="0"/>
                <w:sz w:val="24"/>
                <w:szCs w:val="24"/>
                <w:u w:val="none"/>
                <w:shd w:val="clear" w:fill="auto"/>
                <w:vertAlign w:val="baseline"/>
                <w:lang w:val="en-US" w:eastAsia="zh-CN"/>
              </w:rPr>
            </w:pPr>
            <w:r>
              <w:rPr>
                <w:rFonts w:hint="eastAsia" w:ascii="黑体" w:hAnsi="黑体" w:eastAsia="黑体" w:cs="黑体"/>
                <w:i w:val="0"/>
                <w:caps w:val="0"/>
                <w:color w:val="171A1D"/>
                <w:spacing w:val="0"/>
                <w:sz w:val="24"/>
                <w:szCs w:val="24"/>
                <w:u w:val="none"/>
                <w:shd w:val="clear" w:fill="auto"/>
                <w:vertAlign w:val="baseline"/>
                <w:lang w:val="en-US" w:eastAsia="zh-CN"/>
              </w:rPr>
              <w:t>非国有单位</w:t>
            </w:r>
          </w:p>
        </w:tc>
        <w:tc>
          <w:tcPr>
            <w:tcW w:w="3022" w:type="dxa"/>
            <w:vAlign w:val="center"/>
          </w:tcPr>
          <w:p>
            <w:pPr>
              <w:keepNext w:val="0"/>
              <w:keepLines w:val="0"/>
              <w:pageBreakBefore w:val="0"/>
              <w:widowControl/>
              <w:numPr>
                <w:ilvl w:val="-1"/>
                <w:numId w:val="0"/>
              </w:numPr>
              <w:kinsoku/>
              <w:wordWrap/>
              <w:overflowPunct/>
              <w:topLinePunct w:val="0"/>
              <w:autoSpaceDE/>
              <w:autoSpaceDN/>
              <w:bidi w:val="0"/>
              <w:adjustRightInd/>
              <w:snapToGrid/>
              <w:spacing w:line="300" w:lineRule="exact"/>
              <w:jc w:val="center"/>
              <w:textAlignment w:val="auto"/>
              <w:rPr>
                <w:rFonts w:hint="eastAsia" w:ascii="黑体" w:hAnsi="黑体" w:eastAsia="黑体" w:cs="黑体"/>
                <w:i w:val="0"/>
                <w:caps w:val="0"/>
                <w:color w:val="171A1D"/>
                <w:spacing w:val="0"/>
                <w:sz w:val="24"/>
                <w:szCs w:val="24"/>
                <w:u w:val="none"/>
                <w:shd w:val="clear" w:fill="auto"/>
                <w:vertAlign w:val="baseline"/>
                <w:lang w:val="en-US" w:eastAsia="zh-CN"/>
              </w:rPr>
            </w:pPr>
            <w:r>
              <w:rPr>
                <w:rFonts w:hint="eastAsia" w:ascii="黑体" w:hAnsi="黑体" w:eastAsia="黑体" w:cs="黑体"/>
                <w:i w:val="0"/>
                <w:caps w:val="0"/>
                <w:color w:val="171A1D"/>
                <w:spacing w:val="0"/>
                <w:sz w:val="24"/>
                <w:szCs w:val="24"/>
                <w:u w:val="none"/>
                <w:shd w:val="clear" w:fill="auto"/>
                <w:lang w:val="en-US" w:eastAsia="zh-CN"/>
              </w:rPr>
              <w:t>国有单位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45" w:type="dxa"/>
            <w:vAlign w:val="center"/>
          </w:tcPr>
          <w:p>
            <w:pPr>
              <w:keepNext w:val="0"/>
              <w:keepLines w:val="0"/>
              <w:pageBreakBefore w:val="0"/>
              <w:widowControl/>
              <w:numPr>
                <w:ilvl w:val="-1"/>
                <w:numId w:val="0"/>
              </w:numPr>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i w:val="0"/>
                <w:caps w:val="0"/>
                <w:color w:val="171A1D"/>
                <w:spacing w:val="0"/>
                <w:sz w:val="24"/>
                <w:szCs w:val="24"/>
                <w:u w:val="none"/>
                <w:shd w:val="clear" w:fill="auto"/>
                <w:vertAlign w:val="baseline"/>
                <w:lang w:val="en-US" w:eastAsia="zh-CN"/>
              </w:rPr>
            </w:pPr>
            <w:r>
              <w:rPr>
                <w:rFonts w:hint="eastAsia" w:ascii="仿宋_GB2312" w:hAnsi="仿宋_GB2312" w:eastAsia="仿宋_GB2312" w:cs="仿宋_GB2312"/>
                <w:i w:val="0"/>
                <w:caps w:val="0"/>
                <w:color w:val="171A1D"/>
                <w:spacing w:val="0"/>
                <w:sz w:val="24"/>
                <w:szCs w:val="24"/>
                <w:u w:val="none"/>
                <w:shd w:val="clear" w:fill="auto"/>
                <w:lang w:val="en-US" w:eastAsia="zh-CN"/>
              </w:rPr>
              <w:t>普惠性</w:t>
            </w:r>
            <w:r>
              <w:rPr>
                <w:rFonts w:hint="eastAsia" w:ascii="仿宋_GB2312" w:hAnsi="仿宋_GB2312" w:eastAsia="仿宋_GB2312" w:cs="仿宋_GB2312"/>
                <w:spacing w:val="0"/>
                <w:sz w:val="24"/>
                <w:szCs w:val="24"/>
                <w:u w:val="none"/>
                <w:lang w:eastAsia="zh-CN"/>
              </w:rPr>
              <w:t>养老托育</w:t>
            </w:r>
          </w:p>
        </w:tc>
        <w:tc>
          <w:tcPr>
            <w:tcW w:w="3600" w:type="dxa"/>
            <w:vAlign w:val="center"/>
          </w:tcPr>
          <w:p>
            <w:pPr>
              <w:keepNext w:val="0"/>
              <w:keepLines w:val="0"/>
              <w:pageBreakBefore w:val="0"/>
              <w:widowControl/>
              <w:numPr>
                <w:ilvl w:val="-1"/>
                <w:numId w:val="0"/>
              </w:numPr>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i w:val="0"/>
                <w:caps w:val="0"/>
                <w:color w:val="FF0000"/>
                <w:spacing w:val="0"/>
                <w:sz w:val="24"/>
                <w:szCs w:val="24"/>
                <w:u w:val="none"/>
                <w:shd w:val="clear" w:fill="auto"/>
                <w:vertAlign w:val="baseline"/>
                <w:lang w:val="en-US" w:eastAsia="zh-CN"/>
              </w:rPr>
            </w:pPr>
            <w:r>
              <w:rPr>
                <w:rFonts w:hint="eastAsia" w:ascii="仿宋_GB2312" w:hAnsi="仿宋_GB2312" w:eastAsia="仿宋_GB2312" w:cs="仿宋_GB2312"/>
                <w:i w:val="0"/>
                <w:caps w:val="0"/>
                <w:color w:val="171A1D"/>
                <w:spacing w:val="0"/>
                <w:sz w:val="24"/>
                <w:szCs w:val="24"/>
                <w:u w:val="none"/>
                <w:shd w:val="clear" w:fill="auto"/>
                <w:vertAlign w:val="baseline"/>
                <w:lang w:val="en-US" w:eastAsia="zh-CN"/>
              </w:rPr>
              <w:t>公开招</w:t>
            </w:r>
            <w:r>
              <w:rPr>
                <w:rFonts w:hint="eastAsia" w:ascii="仿宋_GB2312" w:hAnsi="仿宋_GB2312" w:eastAsia="仿宋_GB2312" w:cs="仿宋_GB2312"/>
                <w:i w:val="0"/>
                <w:caps w:val="0"/>
                <w:color w:val="000000" w:themeColor="text1"/>
                <w:spacing w:val="0"/>
                <w:sz w:val="24"/>
                <w:szCs w:val="24"/>
                <w:u w:val="none"/>
                <w:shd w:val="clear" w:fill="auto"/>
                <w:vertAlign w:val="baseline"/>
                <w:lang w:val="en-US" w:eastAsia="zh-CN"/>
                <w14:textFill>
                  <w14:solidFill>
                    <w14:schemeClr w14:val="tx1"/>
                  </w14:solidFill>
                </w14:textFill>
              </w:rPr>
              <w:t>租；</w:t>
            </w:r>
          </w:p>
          <w:p>
            <w:pPr>
              <w:keepNext w:val="0"/>
              <w:keepLines w:val="0"/>
              <w:pageBreakBefore w:val="0"/>
              <w:widowControl/>
              <w:numPr>
                <w:ilvl w:val="-1"/>
                <w:numId w:val="0"/>
              </w:numPr>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i w:val="0"/>
                <w:caps w:val="0"/>
                <w:color w:val="FF0000"/>
                <w:spacing w:val="0"/>
                <w:sz w:val="24"/>
                <w:szCs w:val="24"/>
                <w:u w:val="none"/>
                <w:shd w:val="clear" w:fill="auto"/>
                <w:vertAlign w:val="baseline"/>
                <w:lang w:val="en-US" w:eastAsia="zh-CN"/>
              </w:rPr>
            </w:pPr>
            <w:r>
              <w:rPr>
                <w:rFonts w:hint="eastAsia" w:ascii="仿宋_GB2312" w:hAnsi="仿宋_GB2312" w:eastAsia="仿宋_GB2312" w:cs="仿宋_GB2312"/>
                <w:i w:val="0"/>
                <w:caps w:val="0"/>
                <w:color w:val="000000" w:themeColor="text1"/>
                <w:spacing w:val="0"/>
                <w:sz w:val="24"/>
                <w:szCs w:val="24"/>
                <w:u w:val="none"/>
                <w:shd w:val="clear" w:fill="auto"/>
                <w:lang w:val="en-US" w:eastAsia="zh-CN"/>
                <w14:textFill>
                  <w14:solidFill>
                    <w14:schemeClr w14:val="tx1"/>
                  </w14:solidFill>
                </w14:textFill>
              </w:rPr>
              <w:t>认定为普惠性养老托育机构后，可享受租金优惠</w:t>
            </w:r>
          </w:p>
        </w:tc>
        <w:tc>
          <w:tcPr>
            <w:tcW w:w="3022" w:type="dxa"/>
            <w:vAlign w:val="center"/>
          </w:tcPr>
          <w:p>
            <w:pPr>
              <w:keepNext w:val="0"/>
              <w:keepLines w:val="0"/>
              <w:pageBreakBefore w:val="0"/>
              <w:widowControl/>
              <w:numPr>
                <w:ilvl w:val="-1"/>
                <w:numId w:val="0"/>
              </w:numPr>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i w:val="0"/>
                <w:caps w:val="0"/>
                <w:color w:val="auto"/>
                <w:spacing w:val="0"/>
                <w:sz w:val="24"/>
                <w:szCs w:val="24"/>
                <w:u w:val="none"/>
                <w:shd w:val="clear" w:fill="auto"/>
                <w:vertAlign w:val="baseline"/>
                <w:lang w:val="en-US" w:eastAsia="zh-CN"/>
              </w:rPr>
            </w:pPr>
            <w:r>
              <w:rPr>
                <w:rFonts w:hint="eastAsia" w:ascii="仿宋_GB2312" w:hAnsi="仿宋_GB2312" w:eastAsia="仿宋_GB2312" w:cs="仿宋_GB2312"/>
                <w:i w:val="0"/>
                <w:caps w:val="0"/>
                <w:color w:val="auto"/>
                <w:spacing w:val="0"/>
                <w:sz w:val="24"/>
                <w:szCs w:val="24"/>
                <w:u w:val="none"/>
                <w:shd w:val="clear" w:fill="auto"/>
                <w:vertAlign w:val="baseline"/>
                <w:lang w:val="en-US" w:eastAsia="zh-CN"/>
              </w:rPr>
              <w:t>不公开招租；</w:t>
            </w:r>
          </w:p>
          <w:p>
            <w:pPr>
              <w:keepNext w:val="0"/>
              <w:keepLines w:val="0"/>
              <w:pageBreakBefore w:val="0"/>
              <w:widowControl/>
              <w:numPr>
                <w:ilvl w:val="-1"/>
                <w:numId w:val="0"/>
              </w:numPr>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i w:val="0"/>
                <w:caps w:val="0"/>
                <w:color w:val="auto"/>
                <w:spacing w:val="0"/>
                <w:sz w:val="24"/>
                <w:szCs w:val="24"/>
                <w:u w:val="none"/>
                <w:shd w:val="clear" w:fill="auto"/>
                <w:vertAlign w:val="baseline"/>
                <w:lang w:val="en-US" w:eastAsia="zh-CN"/>
              </w:rPr>
            </w:pPr>
            <w:r>
              <w:rPr>
                <w:rFonts w:hint="eastAsia" w:ascii="仿宋_GB2312" w:hAnsi="仿宋_GB2312" w:eastAsia="仿宋_GB2312" w:cs="仿宋_GB2312"/>
                <w:i w:val="0"/>
                <w:caps w:val="0"/>
                <w:color w:val="auto"/>
                <w:spacing w:val="0"/>
                <w:sz w:val="24"/>
                <w:szCs w:val="24"/>
                <w:u w:val="none"/>
                <w:shd w:val="clear" w:fill="auto"/>
                <w:lang w:val="en-US" w:eastAsia="zh-CN"/>
              </w:rPr>
              <w:t>认定为普惠性养老托育机构后，可享受租金优惠；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45" w:type="dxa"/>
            <w:vAlign w:val="center"/>
          </w:tcPr>
          <w:p>
            <w:pPr>
              <w:keepNext w:val="0"/>
              <w:keepLines w:val="0"/>
              <w:pageBreakBefore w:val="0"/>
              <w:widowControl/>
              <w:numPr>
                <w:ilvl w:val="-1"/>
                <w:numId w:val="0"/>
              </w:numPr>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i w:val="0"/>
                <w:caps w:val="0"/>
                <w:color w:val="171A1D"/>
                <w:spacing w:val="0"/>
                <w:sz w:val="24"/>
                <w:szCs w:val="24"/>
                <w:u w:val="none"/>
                <w:shd w:val="clear" w:fill="auto"/>
                <w:vertAlign w:val="baseline"/>
                <w:lang w:val="en-US" w:eastAsia="zh-CN"/>
              </w:rPr>
            </w:pPr>
            <w:r>
              <w:rPr>
                <w:rFonts w:hint="eastAsia" w:ascii="仿宋_GB2312" w:hAnsi="仿宋_GB2312" w:eastAsia="仿宋_GB2312" w:cs="仿宋_GB2312"/>
                <w:i w:val="0"/>
                <w:caps w:val="0"/>
                <w:color w:val="171A1D"/>
                <w:spacing w:val="0"/>
                <w:sz w:val="24"/>
                <w:szCs w:val="24"/>
                <w:u w:val="none"/>
                <w:shd w:val="clear" w:fill="auto"/>
                <w:vertAlign w:val="baseline"/>
                <w:lang w:val="en-US" w:eastAsia="zh-CN"/>
              </w:rPr>
              <w:t>非惠普性</w:t>
            </w:r>
            <w:r>
              <w:rPr>
                <w:rFonts w:hint="eastAsia" w:ascii="仿宋_GB2312" w:hAnsi="仿宋_GB2312" w:eastAsia="仿宋_GB2312" w:cs="仿宋_GB2312"/>
                <w:spacing w:val="0"/>
                <w:sz w:val="24"/>
                <w:szCs w:val="24"/>
                <w:u w:val="none"/>
                <w:lang w:eastAsia="zh-CN"/>
              </w:rPr>
              <w:t>养老托育</w:t>
            </w:r>
          </w:p>
        </w:tc>
        <w:tc>
          <w:tcPr>
            <w:tcW w:w="3600" w:type="dxa"/>
            <w:vAlign w:val="center"/>
          </w:tcPr>
          <w:p>
            <w:pPr>
              <w:keepNext w:val="0"/>
              <w:keepLines w:val="0"/>
              <w:pageBreakBefore w:val="0"/>
              <w:widowControl/>
              <w:numPr>
                <w:ilvl w:val="-1"/>
                <w:numId w:val="0"/>
              </w:numPr>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i w:val="0"/>
                <w:caps w:val="0"/>
                <w:color w:val="171A1D"/>
                <w:spacing w:val="0"/>
                <w:sz w:val="24"/>
                <w:szCs w:val="24"/>
                <w:u w:val="none"/>
                <w:shd w:val="clear" w:fill="auto"/>
                <w:vertAlign w:val="baseline"/>
                <w:lang w:val="en-US" w:eastAsia="zh-CN"/>
              </w:rPr>
            </w:pPr>
            <w:r>
              <w:rPr>
                <w:rFonts w:hint="eastAsia" w:ascii="仿宋_GB2312" w:hAnsi="仿宋_GB2312" w:eastAsia="仿宋_GB2312" w:cs="仿宋_GB2312"/>
                <w:i w:val="0"/>
                <w:caps w:val="0"/>
                <w:color w:val="171A1D"/>
                <w:spacing w:val="0"/>
                <w:sz w:val="24"/>
                <w:szCs w:val="24"/>
                <w:u w:val="none"/>
                <w:shd w:val="clear" w:fill="auto"/>
                <w:vertAlign w:val="baseline"/>
                <w:lang w:val="en-US" w:eastAsia="zh-CN"/>
              </w:rPr>
              <w:t>公开招租</w:t>
            </w:r>
          </w:p>
        </w:tc>
        <w:tc>
          <w:tcPr>
            <w:tcW w:w="3022" w:type="dxa"/>
            <w:vAlign w:val="center"/>
          </w:tcPr>
          <w:p>
            <w:pPr>
              <w:keepNext w:val="0"/>
              <w:keepLines w:val="0"/>
              <w:pageBreakBefore w:val="0"/>
              <w:widowControl/>
              <w:numPr>
                <w:ilvl w:val="-1"/>
                <w:numId w:val="0"/>
              </w:numPr>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i w:val="0"/>
                <w:caps w:val="0"/>
                <w:color w:val="auto"/>
                <w:spacing w:val="0"/>
                <w:sz w:val="24"/>
                <w:szCs w:val="24"/>
                <w:u w:val="none"/>
                <w:shd w:val="clear" w:fill="auto"/>
                <w:vertAlign w:val="baseline"/>
                <w:lang w:val="en-US" w:eastAsia="zh-CN"/>
              </w:rPr>
            </w:pPr>
            <w:r>
              <w:rPr>
                <w:rFonts w:hint="eastAsia" w:ascii="仿宋_GB2312" w:hAnsi="仿宋_GB2312" w:eastAsia="仿宋_GB2312" w:cs="仿宋_GB2312"/>
                <w:i w:val="0"/>
                <w:caps w:val="0"/>
                <w:color w:val="auto"/>
                <w:spacing w:val="0"/>
                <w:sz w:val="24"/>
                <w:szCs w:val="24"/>
                <w:u w:val="none"/>
                <w:shd w:val="clear" w:fill="auto"/>
                <w:vertAlign w:val="baseline"/>
                <w:lang w:val="en-US" w:eastAsia="zh-CN"/>
              </w:rPr>
              <w:t>不公开招租</w:t>
            </w:r>
          </w:p>
        </w:tc>
      </w:tr>
    </w:tbl>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五、违约责任与退出机制。</w:t>
      </w:r>
      <w:r>
        <w:rPr>
          <w:rFonts w:hint="eastAsia" w:ascii="仿宋_GB2312" w:hAnsi="仿宋_GB2312" w:eastAsia="仿宋_GB2312" w:cs="仿宋_GB2312"/>
          <w:sz w:val="32"/>
          <w:szCs w:val="32"/>
          <w:lang w:val="en-US" w:eastAsia="zh-CN"/>
        </w:rPr>
        <w:t>民政部门和卫健部门须加强对承租国有企业物业的养老服务机构和托育服务机构</w:t>
      </w:r>
      <w:r>
        <w:rPr>
          <w:rFonts w:hint="eastAsia" w:ascii="仿宋_GB2312" w:hAnsi="仿宋_GB2312" w:eastAsia="仿宋_GB2312" w:cs="仿宋_GB2312"/>
          <w:sz w:val="32"/>
          <w:szCs w:val="32"/>
          <w:lang w:val="en" w:eastAsia="zh-CN"/>
        </w:rPr>
        <w:t>的</w:t>
      </w:r>
      <w:r>
        <w:rPr>
          <w:rFonts w:hint="eastAsia" w:ascii="仿宋_GB2312" w:hAnsi="仿宋_GB2312" w:eastAsia="仿宋_GB2312" w:cs="仿宋_GB2312"/>
          <w:sz w:val="32"/>
          <w:szCs w:val="32"/>
          <w:lang w:val="en-US" w:eastAsia="zh-CN"/>
        </w:rPr>
        <w:t>承租人的行业监督，制定养老服务机构和托育服务机构及普惠性养老托育服务机构认定管理办法，定期对普惠性养老托育服务机构进行监督检查，实时更新普惠养老托育服务机构名录，防止承租人冒用养老服务、托育服务的名义转租牟利。</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租赁双方应签订租赁、安全责任协议，明确双方权利义务。租赁协议中</w:t>
      </w:r>
      <w:r>
        <w:rPr>
          <w:rFonts w:hint="eastAsia" w:ascii="仿宋_GB2312" w:hAnsi="仿宋_GB2312" w:eastAsia="仿宋_GB2312" w:cs="仿宋_GB2312"/>
          <w:sz w:val="32"/>
          <w:szCs w:val="32"/>
          <w:lang w:val="en" w:eastAsia="zh-CN"/>
        </w:rPr>
        <w:t>应</w:t>
      </w:r>
      <w:r>
        <w:rPr>
          <w:rFonts w:hint="eastAsia" w:ascii="仿宋_GB2312" w:hAnsi="仿宋_GB2312" w:eastAsia="仿宋_GB2312" w:cs="仿宋_GB2312"/>
          <w:sz w:val="32"/>
          <w:szCs w:val="32"/>
          <w:lang w:val="en-US" w:eastAsia="zh-CN"/>
        </w:rPr>
        <w:t>明确承租人不得改变租赁物业的用途将租赁物业用于非养老服务、非托育服务</w:t>
      </w:r>
      <w:r>
        <w:rPr>
          <w:rFonts w:hint="eastAsia" w:ascii="仿宋_GB2312" w:hAnsi="仿宋_GB2312" w:eastAsia="仿宋_GB2312" w:cs="仿宋_GB2312"/>
          <w:sz w:val="32"/>
          <w:szCs w:val="32"/>
          <w:lang w:val="en" w:eastAsia="zh-CN"/>
        </w:rPr>
        <w:t>等</w:t>
      </w:r>
      <w:r>
        <w:rPr>
          <w:rFonts w:hint="eastAsia" w:ascii="仿宋_GB2312" w:hAnsi="仿宋_GB2312" w:eastAsia="仿宋_GB2312" w:cs="仿宋_GB2312"/>
          <w:sz w:val="32"/>
          <w:szCs w:val="32"/>
          <w:lang w:val="en-US" w:eastAsia="zh-CN"/>
        </w:rPr>
        <w:t>并明确违约责任。享受普惠性养老托育服务机构租金优惠的</w:t>
      </w:r>
      <w:r>
        <w:rPr>
          <w:rFonts w:hint="eastAsia" w:ascii="仿宋_GB2312" w:hAnsi="仿宋_GB2312" w:eastAsia="仿宋_GB2312" w:cs="仿宋_GB2312"/>
          <w:sz w:val="32"/>
          <w:szCs w:val="32"/>
          <w:lang w:val="en" w:eastAsia="zh-CN"/>
        </w:rPr>
        <w:t>，</w:t>
      </w:r>
      <w:r>
        <w:rPr>
          <w:rFonts w:hint="eastAsia" w:ascii="仿宋_GB2312" w:hAnsi="仿宋_GB2312" w:eastAsia="仿宋_GB2312" w:cs="仿宋_GB2312"/>
          <w:sz w:val="32"/>
          <w:szCs w:val="32"/>
          <w:lang w:val="en-US" w:eastAsia="zh-CN"/>
        </w:rPr>
        <w:t>租赁协议中</w:t>
      </w:r>
      <w:r>
        <w:rPr>
          <w:rFonts w:hint="eastAsia" w:ascii="仿宋_GB2312" w:hAnsi="仿宋_GB2312" w:eastAsia="仿宋_GB2312" w:cs="仿宋_GB2312"/>
          <w:sz w:val="32"/>
          <w:szCs w:val="32"/>
          <w:lang w:val="en" w:eastAsia="zh-CN"/>
        </w:rPr>
        <w:t>应</w:t>
      </w:r>
      <w:r>
        <w:rPr>
          <w:rFonts w:hint="eastAsia" w:ascii="仿宋_GB2312" w:hAnsi="仿宋_GB2312" w:eastAsia="仿宋_GB2312" w:cs="仿宋_GB2312"/>
          <w:sz w:val="32"/>
          <w:szCs w:val="32"/>
          <w:lang w:val="en-US" w:eastAsia="zh-CN"/>
        </w:rPr>
        <w:t>明确该养老</w:t>
      </w:r>
      <w:r>
        <w:rPr>
          <w:rFonts w:hint="eastAsia" w:ascii="仿宋_GB2312" w:hAnsi="仿宋_GB2312" w:eastAsia="仿宋_GB2312" w:cs="仿宋_GB2312"/>
          <w:sz w:val="32"/>
          <w:szCs w:val="32"/>
          <w:lang w:val="en" w:eastAsia="zh-CN"/>
        </w:rPr>
        <w:t>托育</w:t>
      </w:r>
      <w:r>
        <w:rPr>
          <w:rFonts w:hint="eastAsia" w:ascii="仿宋_GB2312" w:hAnsi="仿宋_GB2312" w:eastAsia="仿宋_GB2312" w:cs="仿宋_GB2312"/>
          <w:sz w:val="32"/>
          <w:szCs w:val="32"/>
          <w:lang w:val="en-US" w:eastAsia="zh-CN"/>
        </w:rPr>
        <w:t>服务机构收费标准不得高于我市普惠性养老</w:t>
      </w:r>
      <w:r>
        <w:rPr>
          <w:rFonts w:hint="eastAsia" w:ascii="仿宋_GB2312" w:hAnsi="仿宋_GB2312" w:eastAsia="仿宋_GB2312" w:cs="仿宋_GB2312"/>
          <w:sz w:val="32"/>
          <w:szCs w:val="32"/>
          <w:lang w:val="en" w:eastAsia="zh-CN"/>
        </w:rPr>
        <w:t>托育</w:t>
      </w:r>
      <w:r>
        <w:rPr>
          <w:rFonts w:hint="eastAsia" w:ascii="仿宋_GB2312" w:hAnsi="仿宋_GB2312" w:eastAsia="仿宋_GB2312" w:cs="仿宋_GB2312"/>
          <w:sz w:val="32"/>
          <w:szCs w:val="32"/>
          <w:lang w:val="en-US" w:eastAsia="zh-CN"/>
        </w:rPr>
        <w:t>服务收费标准</w:t>
      </w:r>
      <w:r>
        <w:rPr>
          <w:rFonts w:hint="eastAsia" w:ascii="仿宋_GB2312" w:hAnsi="仿宋_GB2312" w:eastAsia="仿宋_GB2312" w:cs="仿宋_GB2312"/>
          <w:sz w:val="32"/>
          <w:szCs w:val="32"/>
          <w:lang w:val="en" w:eastAsia="zh-CN"/>
        </w:rPr>
        <w:t>的约定。如改变用途、违约转租或</w:t>
      </w:r>
      <w:r>
        <w:rPr>
          <w:rFonts w:hint="eastAsia" w:ascii="仿宋_GB2312" w:hAnsi="仿宋_GB2312" w:eastAsia="仿宋_GB2312" w:cs="仿宋_GB2312"/>
          <w:sz w:val="32"/>
          <w:szCs w:val="32"/>
          <w:lang w:val="en-US" w:eastAsia="zh-CN"/>
        </w:rPr>
        <w:t>养老</w:t>
      </w:r>
      <w:r>
        <w:rPr>
          <w:rFonts w:hint="eastAsia" w:ascii="仿宋_GB2312" w:hAnsi="仿宋_GB2312" w:eastAsia="仿宋_GB2312" w:cs="仿宋_GB2312"/>
          <w:sz w:val="32"/>
          <w:szCs w:val="32"/>
          <w:lang w:val="en" w:eastAsia="zh-CN"/>
        </w:rPr>
        <w:t>托育</w:t>
      </w:r>
      <w:r>
        <w:rPr>
          <w:rFonts w:hint="eastAsia" w:ascii="仿宋_GB2312" w:hAnsi="仿宋_GB2312" w:eastAsia="仿宋_GB2312" w:cs="仿宋_GB2312"/>
          <w:sz w:val="32"/>
          <w:szCs w:val="32"/>
          <w:lang w:val="en-US" w:eastAsia="zh-CN"/>
        </w:rPr>
        <w:t>服务机构收费标准高于约定的，国企应采取相应措施（例如：向违约方追索违约金</w:t>
      </w:r>
      <w:r>
        <w:rPr>
          <w:rFonts w:hint="eastAsia" w:ascii="仿宋_GB2312" w:hAnsi="仿宋_GB2312" w:eastAsia="仿宋_GB2312" w:cs="仿宋_GB2312"/>
          <w:sz w:val="32"/>
          <w:szCs w:val="32"/>
          <w:lang w:val="en" w:eastAsia="zh-CN"/>
        </w:rPr>
        <w:t>、解除合同</w:t>
      </w:r>
      <w:r>
        <w:rPr>
          <w:rFonts w:hint="eastAsia" w:ascii="仿宋_GB2312" w:hAnsi="仿宋_GB2312" w:eastAsia="仿宋_GB2312" w:cs="仿宋_GB2312"/>
          <w:sz w:val="32"/>
          <w:szCs w:val="32"/>
          <w:lang w:val="en-US" w:eastAsia="zh-CN"/>
        </w:rPr>
        <w:t>收回出租</w:t>
      </w:r>
      <w:r>
        <w:rPr>
          <w:rFonts w:hint="eastAsia" w:ascii="仿宋_GB2312" w:hAnsi="仿宋_GB2312" w:eastAsia="仿宋_GB2312" w:cs="仿宋_GB2312"/>
          <w:sz w:val="32"/>
          <w:szCs w:val="32"/>
          <w:lang w:val="en" w:eastAsia="zh-CN"/>
        </w:rPr>
        <w:t>物业、将违约方列入承租方黑名单等），切实保障出租物业安全</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六、其它。</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 w:eastAsia="zh-CN"/>
        </w:rPr>
        <w:t>（一）我市</w:t>
      </w:r>
      <w:r>
        <w:rPr>
          <w:rFonts w:hint="eastAsia" w:ascii="仿宋_GB2312" w:hAnsi="仿宋_GB2312" w:eastAsia="仿宋_GB2312" w:cs="仿宋_GB2312"/>
          <w:sz w:val="32"/>
          <w:szCs w:val="32"/>
          <w:lang w:val="en-US" w:eastAsia="zh-CN"/>
        </w:rPr>
        <w:t>行政机关、事业单位、国有全资企业举办普惠性养老服务、托育服务的，可依法委托第三方机构运营管理，应落实举办主体责任，加强对第三方机构的监管，不得变相转租，不得转移收费和管理职能。</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lang w:val="en" w:eastAsia="zh-CN"/>
        </w:rPr>
        <w:t>文中</w:t>
      </w:r>
      <w:r>
        <w:rPr>
          <w:rFonts w:hint="eastAsia" w:ascii="仿宋_GB2312" w:hAnsi="仿宋_GB2312" w:eastAsia="仿宋_GB2312" w:cs="仿宋_GB2312"/>
          <w:sz w:val="32"/>
          <w:szCs w:val="32"/>
          <w:lang w:val="en-US" w:eastAsia="zh-CN"/>
        </w:rPr>
        <w:t>所称的</w:t>
      </w:r>
      <w:r>
        <w:rPr>
          <w:rFonts w:hint="eastAsia" w:ascii="仿宋_GB2312" w:hAnsi="仿宋_GB2312" w:eastAsia="仿宋_GB2312" w:cs="仿宋_GB2312"/>
          <w:sz w:val="32"/>
          <w:szCs w:val="32"/>
          <w:lang w:val="en" w:eastAsia="zh-CN"/>
        </w:rPr>
        <w:t>市属</w:t>
      </w:r>
      <w:r>
        <w:rPr>
          <w:rFonts w:hint="eastAsia" w:ascii="仿宋_GB2312" w:hAnsi="仿宋_GB2312" w:eastAsia="仿宋_GB2312" w:cs="仿宋_GB2312"/>
          <w:sz w:val="32"/>
          <w:szCs w:val="32"/>
          <w:lang w:val="en-US" w:eastAsia="zh-CN"/>
        </w:rPr>
        <w:t>国有企业自有</w:t>
      </w:r>
      <w:r>
        <w:rPr>
          <w:rFonts w:hint="eastAsia" w:ascii="仿宋_GB2312" w:hAnsi="仿宋_GB2312" w:eastAsia="仿宋_GB2312" w:cs="仿宋_GB2312"/>
          <w:sz w:val="32"/>
          <w:szCs w:val="32"/>
          <w:lang w:val="en" w:eastAsia="zh-CN"/>
        </w:rPr>
        <w:t>物业</w:t>
      </w:r>
      <w:r>
        <w:rPr>
          <w:rFonts w:hint="eastAsia" w:ascii="仿宋_GB2312" w:hAnsi="仿宋_GB2312" w:eastAsia="仿宋_GB2312" w:cs="仿宋_GB2312"/>
          <w:sz w:val="32"/>
          <w:szCs w:val="32"/>
          <w:lang w:val="en-US" w:eastAsia="zh-CN"/>
        </w:rPr>
        <w:t>，指的是国有独资企业、国有独资公司、国有全资公司（不包括集体企业、国有参股企业）拥有权属房产。鼓励国有控股及国有实际控股企业参照执行。</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文中所称的举办，是指具备养老服务资质的承租单位（国有或非国有）自行举办，一般情况下承租合同者、机构法人与运营者应相互一致。承租人经出租方同意可成立控股子公司作为新运营主体，未经出租方同意不得擅自变更承租人（出资人），否则视为违约。国有单位委托第三方机构运营管理，是承租合同者、机构法人为国有单位，运营管理为第三方。</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（四）养老服务机构是指依法成立并从事养老服务的法人或者非法人组织，具体由县级以上民政部门认定。本文所称普惠性养老服务机构设施由民政部门按养老机构相关规定认定。</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（五）托育服务机构是指经过有关部门登记、卫生健康部门备案，为3岁以下婴幼儿提供全日托、半日托、计时托、临时托等托育服务的机构。</w:t>
      </w:r>
      <w:r>
        <w:rPr>
          <w:rFonts w:hint="eastAsia" w:ascii="仿宋_GB2312" w:hAnsi="仿宋_GB2312" w:eastAsia="仿宋_GB2312" w:cs="仿宋_GB2312"/>
          <w:sz w:val="32"/>
          <w:szCs w:val="32"/>
          <w:lang w:eastAsia="zh-CN"/>
        </w:rPr>
        <w:t>本</w:t>
      </w:r>
      <w:r>
        <w:rPr>
          <w:rFonts w:hint="eastAsia" w:ascii="仿宋_GB2312" w:hAnsi="仿宋_GB2312" w:eastAsia="仿宋_GB2312" w:cs="仿宋_GB2312"/>
          <w:sz w:val="32"/>
          <w:szCs w:val="32"/>
          <w:lang w:val="en-US" w:eastAsia="zh-CN"/>
        </w:rPr>
        <w:t>文所称普惠性托育服务机构由卫健部门按照相关规定认定。</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（六）各县（市、区、功能区）可以参照本通知制订支持利用国有企业物业开展养老托育服务的相关政策。</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pPr>
      <w:r>
        <w:rPr>
          <w:rFonts w:hint="eastAsia" w:ascii="仿宋_GB2312" w:hAnsi="仿宋_GB2312" w:eastAsia="仿宋_GB2312" w:cs="仿宋_GB2312"/>
          <w:sz w:val="32"/>
          <w:szCs w:val="32"/>
          <w:lang w:val="en-US" w:eastAsia="zh-CN"/>
        </w:rPr>
        <w:t>(七)</w:t>
      </w:r>
      <w:r>
        <w:rPr>
          <w:rFonts w:hint="eastAsia" w:ascii="仿宋_GB2312" w:hAnsi="仿宋_GB2312" w:eastAsia="仿宋_GB2312" w:cs="仿宋_GB2312"/>
          <w:sz w:val="32"/>
          <w:szCs w:val="32"/>
        </w:rPr>
        <w:t>本通知自印发之日起实施，试行</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w:t>
      </w:r>
    </w:p>
    <w:sectPr>
      <w:footerReference r:id="rId3" w:type="default"/>
      <w:pgSz w:w="11906" w:h="16838"/>
      <w:pgMar w:top="2098" w:right="1474" w:bottom="1984" w:left="1474" w:header="851" w:footer="1644"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A6363A"/>
    <w:rsid w:val="0106778E"/>
    <w:rsid w:val="3AA6363A"/>
    <w:rsid w:val="3D3A0A1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Normal Indent"/>
    <w:qFormat/>
    <w:uiPriority w:val="0"/>
    <w:pPr>
      <w:widowControl w:val="0"/>
      <w:adjustRightInd/>
      <w:spacing w:line="240" w:lineRule="auto"/>
      <w:ind w:firstLine="420" w:firstLineChars="200"/>
      <w:jc w:val="both"/>
      <w:textAlignment w:val="auto"/>
    </w:pPr>
    <w:rPr>
      <w:rFonts w:ascii="Times New Roman" w:hAnsi="Times New Roman" w:eastAsia="宋体" w:cs="Times New Roman"/>
      <w:kern w:val="2"/>
      <w:sz w:val="21"/>
      <w:szCs w:val="24"/>
      <w:lang w:val="en-US" w:eastAsia="zh-CN" w:bidi="ar-SA"/>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2022-08-23T08:05:00Z</dcterms:created>
  <dc:creator>Moon月</dc:creator>
  <cp:lastModifiedBy>蔡一雷</cp:lastModifiedBy>
  <dcterms:modified xsi:type="dcterms:W3CDTF">2022-09-05T09:34:21Z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